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80" w:after="40"/>
        <w:jc w:val="center"/>
        <w:keepLines/>
      </w:pPr>
      <w:r>
        <w:rPr>
          <w:rFonts w:ascii="Aptos" w:hAnsi="Aptos" w:eastAsia="Aptos"/>
          <w:b/>
          <w:color w:val="0B1F44"/>
          <w:sz w:val="32"/>
        </w:rPr>
        <w:t>THE PHOENIX STORE ONLINE, LLC</w:t>
      </w:r>
    </w:p>
    <w:p>
      <w:pPr>
        <w:spacing w:before="20" w:after="120"/>
        <w:jc w:val="center"/>
        <w:keepLines/>
      </w:pPr>
      <w:r>
        <w:rPr>
          <w:rFonts w:ascii="Aptos" w:hAnsi="Aptos" w:eastAsia="Aptos"/>
          <w:b/>
          <w:color w:val="C8902F"/>
          <w:sz w:val="28"/>
        </w:rPr>
        <w:t>MORALITY &amp; SOCIAL MEDIA CONDUCT ADDENDUM</w:t>
      </w:r>
    </w:p>
    <w:p>
      <w:pPr>
        <w:spacing w:after="240"/>
        <w:jc w:val="center"/>
        <w:keepLines/>
      </w:pPr>
      <w:r>
        <w:rPr>
          <w:rFonts w:ascii="Aptos" w:hAnsi="Aptos" w:eastAsia="Aptos"/>
          <w:i/>
          <w:color w:val="112A55"/>
          <w:sz w:val="20"/>
        </w:rPr>
        <w:t>To the Phoenix Store Online Franchise Agreement</w:t>
      </w:r>
    </w:p>
    <w:tbl>
      <w:tblPr>
        <w:tblW w:type="auto" w:w="0"/>
        <w:jc w:val="center"/>
        <w:tblLook w:firstColumn="1" w:firstRow="1" w:lastColumn="0" w:lastRow="0" w:noHBand="0" w:noVBand="1" w:val="04A0"/>
      </w:tblPr>
      <w:tblGrid>
        <w:gridCol w:w="10166"/>
      </w:tblGrid>
      <w:tr>
        <w:tc>
          <w:tcPr>
            <w:tcW w:type="dxa" w:w="10166"/>
            <w:shd w:fill="F6E5BF"/>
            <w:tcBorders>
              <w:top w:val="single" w:sz="12" w:color="C8902F"/>
              <w:left w:val="single" w:sz="12" w:color="C8902F"/>
              <w:bottom w:val="single" w:sz="12" w:color="C8902F"/>
              <w:right w:val="single" w:sz="12" w:color="C8902F"/>
            </w:tcBorders>
            <w:vAlign w:val="center"/>
          </w:tcPr>
          <w:p>
            <w:pPr>
              <w:spacing w:before="40" w:after="40"/>
            </w:pPr>
            <w:r>
              <w:rPr>
                <w:rFonts w:ascii="Aptos" w:hAnsi="Aptos" w:eastAsia="Aptos"/>
                <w:b/>
                <w:color w:val="0B1F44"/>
                <w:sz w:val="20"/>
              </w:rPr>
              <w:t>INTEGRATION AND DISCLOSURE NOTICE</w:t>
            </w:r>
          </w:p>
          <w:p>
            <w:pPr>
              <w:spacing w:after="40" w:line="254" w:lineRule="auto"/>
            </w:pPr>
            <w:r>
              <w:rPr>
                <w:rFonts w:ascii="Aptos" w:hAnsi="Aptos" w:eastAsia="Aptos"/>
                <w:color w:val="162239"/>
                <w:sz w:val="19"/>
              </w:rPr>
              <w:t>This Addendum is an additional proposed agreement governing the Phoenix Store Online franchise relationship. It is incorporated into the Franchise Agreement identified below only when completed and signed by both parties. The parties intend that this Addendum be delivered with the Franchise Agreement and other proposed agreements whenever required by applicable franchise law. This Addendum is not a Franchise Disclosure Document and does not replace any required disclosure document.</w:t>
            </w:r>
          </w:p>
        </w:tc>
      </w:tr>
    </w:tbl>
    <w:p>
      <w:pPr>
        <w:spacing w:after="40"/>
      </w:pPr>
    </w:p>
    <w:tbl>
      <w:tblPr>
        <w:tblW w:type="auto" w:w="0"/>
        <w:jc w:val="center"/>
        <w:tblLayout w:type="fixed"/>
        <w:tblLook w:firstColumn="1" w:firstRow="1" w:lastColumn="0" w:lastRow="0" w:noHBand="0" w:noVBand="1" w:val="04A0"/>
      </w:tblPr>
      <w:tblGrid>
        <w:gridCol w:w="3672"/>
        <w:gridCol w:w="6350"/>
      </w:tblGrid>
      <w:tr>
        <w:trPr>
          <w:cantSplit/>
        </w:trPr>
        <w:tc>
          <w:tcPr>
            <w:tcW w:type="dxa" w:w="5083"/>
            <w:shd w:fill="F3F5F7"/>
            <w:tcBorders>
              <w:top w:val="single" w:sz="6" w:color="AAB4C3"/>
              <w:left w:val="single" w:sz="6" w:color="AAB4C3"/>
              <w:bottom w:val="single" w:sz="6" w:color="AAB4C3"/>
              <w:right w:val="single" w:sz="6" w:color="AAB4C3"/>
            </w:tcBorders>
          </w:tcPr>
          <w:p>
            <w:pPr>
              <w:spacing w:before="60" w:after="60"/>
            </w:pPr>
            <w:r>
              <w:rPr>
                <w:rFonts w:ascii="Aptos" w:hAnsi="Aptos" w:eastAsia="Aptos"/>
                <w:b/>
                <w:color w:val="0B1F44"/>
                <w:sz w:val="18"/>
              </w:rPr>
              <w:t>Franchise Agreement Date</w:t>
            </w:r>
          </w:p>
        </w:tc>
        <w:tc>
          <w:tcPr>
            <w:tcW w:type="dxa" w:w="5083"/>
            <w:tcBorders>
              <w:top w:val="single" w:sz="6" w:color="AAB4C3"/>
              <w:left w:val="single" w:sz="6" w:color="AAB4C3"/>
              <w:bottom w:val="single" w:sz="6" w:color="AAB4C3"/>
              <w:right w:val="single" w:sz="6" w:color="AAB4C3"/>
            </w:tcBorders>
          </w:tcPr>
          <w:p>
            <w:pPr>
              <w:spacing w:before="60" w:after="60"/>
            </w:pPr>
            <w:r>
              <w:rPr>
                <w:rFonts w:ascii="Aptos" w:hAnsi="Aptos" w:eastAsia="Aptos"/>
                <w:color w:val="162239"/>
                <w:sz w:val="18"/>
              </w:rPr>
              <w:t>______________________________________________</w:t>
            </w:r>
          </w:p>
        </w:tc>
      </w:tr>
      <w:tr>
        <w:trPr>
          <w:cantSplit/>
        </w:trPr>
        <w:tc>
          <w:tcPr>
            <w:tcW w:type="dxa" w:w="5083"/>
            <w:shd w:fill="F3F5F7"/>
            <w:tcBorders>
              <w:top w:val="single" w:sz="6" w:color="AAB4C3"/>
              <w:left w:val="single" w:sz="6" w:color="AAB4C3"/>
              <w:bottom w:val="single" w:sz="6" w:color="AAB4C3"/>
              <w:right w:val="single" w:sz="6" w:color="AAB4C3"/>
            </w:tcBorders>
          </w:tcPr>
          <w:p>
            <w:pPr>
              <w:spacing w:before="60" w:after="60"/>
            </w:pPr>
            <w:r>
              <w:rPr>
                <w:rFonts w:ascii="Aptos" w:hAnsi="Aptos" w:eastAsia="Aptos"/>
                <w:b/>
                <w:color w:val="0B1F44"/>
                <w:sz w:val="18"/>
              </w:rPr>
              <w:t>Franchisee Legal Name</w:t>
            </w:r>
          </w:p>
        </w:tc>
        <w:tc>
          <w:tcPr>
            <w:tcW w:type="dxa" w:w="5083"/>
            <w:tcBorders>
              <w:top w:val="single" w:sz="6" w:color="AAB4C3"/>
              <w:left w:val="single" w:sz="6" w:color="AAB4C3"/>
              <w:bottom w:val="single" w:sz="6" w:color="AAB4C3"/>
              <w:right w:val="single" w:sz="6" w:color="AAB4C3"/>
            </w:tcBorders>
          </w:tcPr>
          <w:p>
            <w:pPr>
              <w:spacing w:before="60" w:after="60"/>
            </w:pPr>
            <w:r>
              <w:rPr>
                <w:rFonts w:ascii="Aptos" w:hAnsi="Aptos" w:eastAsia="Aptos"/>
                <w:color w:val="162239"/>
                <w:sz w:val="18"/>
              </w:rPr>
              <w:t>______________________________________________</w:t>
            </w:r>
          </w:p>
        </w:tc>
      </w:tr>
      <w:tr>
        <w:trPr>
          <w:cantSplit/>
        </w:trPr>
        <w:tc>
          <w:tcPr>
            <w:tcW w:type="dxa" w:w="5083"/>
            <w:shd w:fill="F3F5F7"/>
            <w:tcBorders>
              <w:top w:val="single" w:sz="6" w:color="AAB4C3"/>
              <w:left w:val="single" w:sz="6" w:color="AAB4C3"/>
              <w:bottom w:val="single" w:sz="6" w:color="AAB4C3"/>
              <w:right w:val="single" w:sz="6" w:color="AAB4C3"/>
            </w:tcBorders>
          </w:tcPr>
          <w:p>
            <w:pPr>
              <w:spacing w:before="60" w:after="60"/>
            </w:pPr>
            <w:r>
              <w:rPr>
                <w:rFonts w:ascii="Aptos" w:hAnsi="Aptos" w:eastAsia="Aptos"/>
                <w:b/>
                <w:color w:val="0B1F44"/>
                <w:sz w:val="18"/>
              </w:rPr>
              <w:t>Franchisee Form</w:t>
            </w:r>
          </w:p>
        </w:tc>
        <w:tc>
          <w:tcPr>
            <w:tcW w:type="dxa" w:w="5083"/>
            <w:tcBorders>
              <w:top w:val="single" w:sz="6" w:color="AAB4C3"/>
              <w:left w:val="single" w:sz="6" w:color="AAB4C3"/>
              <w:bottom w:val="single" w:sz="6" w:color="AAB4C3"/>
              <w:right w:val="single" w:sz="6" w:color="AAB4C3"/>
            </w:tcBorders>
          </w:tcPr>
          <w:p>
            <w:pPr>
              <w:spacing w:before="60" w:after="60"/>
            </w:pPr>
            <w:r>
              <w:rPr>
                <w:rFonts w:ascii="Aptos" w:hAnsi="Aptos" w:eastAsia="Aptos"/>
                <w:color w:val="162239"/>
                <w:sz w:val="18"/>
              </w:rPr>
              <w:t>☐ Sole Proprietor    ☐ Limited Liability Company    ☐ Corporation</w:t>
            </w:r>
          </w:p>
        </w:tc>
      </w:tr>
      <w:tr>
        <w:trPr>
          <w:cantSplit/>
        </w:trPr>
        <w:tc>
          <w:tcPr>
            <w:tcW w:type="dxa" w:w="5083"/>
            <w:shd w:fill="F3F5F7"/>
            <w:tcBorders>
              <w:top w:val="single" w:sz="6" w:color="AAB4C3"/>
              <w:left w:val="single" w:sz="6" w:color="AAB4C3"/>
              <w:bottom w:val="single" w:sz="6" w:color="AAB4C3"/>
              <w:right w:val="single" w:sz="6" w:color="AAB4C3"/>
            </w:tcBorders>
          </w:tcPr>
          <w:p>
            <w:pPr>
              <w:spacing w:before="60" w:after="60"/>
            </w:pPr>
            <w:r>
              <w:rPr>
                <w:rFonts w:ascii="Aptos" w:hAnsi="Aptos" w:eastAsia="Aptos"/>
                <w:b/>
                <w:color w:val="0B1F44"/>
                <w:sz w:val="18"/>
              </w:rPr>
              <w:t>Franchisee Approved Territory / Market</w:t>
            </w:r>
          </w:p>
        </w:tc>
        <w:tc>
          <w:tcPr>
            <w:tcW w:type="dxa" w:w="5083"/>
            <w:tcBorders>
              <w:top w:val="single" w:sz="6" w:color="AAB4C3"/>
              <w:left w:val="single" w:sz="6" w:color="AAB4C3"/>
              <w:bottom w:val="single" w:sz="6" w:color="AAB4C3"/>
              <w:right w:val="single" w:sz="6" w:color="AAB4C3"/>
            </w:tcBorders>
          </w:tcPr>
          <w:p>
            <w:pPr>
              <w:spacing w:before="60" w:after="60"/>
            </w:pPr>
            <w:r>
              <w:rPr>
                <w:rFonts w:ascii="Aptos" w:hAnsi="Aptos" w:eastAsia="Aptos"/>
                <w:color w:val="162239"/>
                <w:sz w:val="18"/>
              </w:rPr>
              <w:t>______________________________________________</w:t>
            </w:r>
          </w:p>
        </w:tc>
      </w:tr>
    </w:tbl>
    <w:p>
      <w:pPr>
        <w:spacing w:before="280" w:after="120" w:line="240" w:lineRule="auto"/>
        <w:pBdr>
          <w:bottom w:val="single" w:sz="10" w:space="6" w:color="C8902F"/>
        </w:pBdr>
        <w:keepNext/>
        <w:keepLines/>
        <w:keepLines/>
      </w:pPr>
      <w:r>
        <w:rPr>
          <w:rFonts w:ascii="Aptos" w:hAnsi="Aptos" w:eastAsia="Aptos"/>
          <w:b/>
          <w:color w:val="0B1F44"/>
          <w:sz w:val="24"/>
        </w:rPr>
        <w:t>1. INCORPORATION, PURPOSE, AND INTERPRETATION</w:t>
      </w:r>
    </w:p>
    <w:p>
      <w:pPr>
        <w:spacing w:before="60" w:after="80" w:line="269" w:lineRule="auto"/>
        <w:ind w:left="0" w:firstLine="0"/>
        <w:keepLines/>
      </w:pPr>
      <w:r>
        <w:rPr>
          <w:rFonts w:ascii="Aptos" w:hAnsi="Aptos" w:eastAsia="Aptos"/>
          <w:b/>
          <w:color w:val="0B1F44"/>
          <w:sz w:val="20"/>
        </w:rPr>
        <w:t xml:space="preserve">1.1 </w:t>
      </w:r>
      <w:r>
        <w:rPr>
          <w:rFonts w:ascii="Aptos" w:hAnsi="Aptos" w:eastAsia="Aptos"/>
          <w:b/>
          <w:color w:val="162239"/>
          <w:sz w:val="20"/>
        </w:rPr>
        <w:t xml:space="preserve">Incorporation. </w:t>
      </w:r>
      <w:r>
        <w:rPr>
          <w:rFonts w:ascii="Aptos" w:hAnsi="Aptos" w:eastAsia="Aptos"/>
          <w:color w:val="162239"/>
          <w:sz w:val="20"/>
        </w:rPr>
        <w:t>This Morality &amp; Social Media Conduct Addendum (“Addendum”) is incorporated into and made part of the Phoenix Store Online Franchise Agreement between The Phoenix Store Online, LLC (“Franchisor”) and the Franchisee identified above (“Franchisee”), including all schedules and approved amendments to that agreement (collectively, the “Agreement”). Capitalized terms not defined here have the meanings given in the Agreement.</w:t>
      </w:r>
    </w:p>
    <w:p>
      <w:pPr>
        <w:spacing w:before="60" w:after="80" w:line="269" w:lineRule="auto"/>
        <w:ind w:left="0" w:firstLine="0"/>
        <w:keepLines/>
      </w:pPr>
      <w:r>
        <w:rPr>
          <w:rFonts w:ascii="Aptos" w:hAnsi="Aptos" w:eastAsia="Aptos"/>
          <w:b/>
          <w:color w:val="0B1F44"/>
          <w:sz w:val="20"/>
        </w:rPr>
        <w:t xml:space="preserve">1.2 </w:t>
      </w:r>
      <w:r>
        <w:rPr>
          <w:rFonts w:ascii="Aptos" w:hAnsi="Aptos" w:eastAsia="Aptos"/>
          <w:b/>
          <w:color w:val="162239"/>
          <w:sz w:val="20"/>
        </w:rPr>
        <w:t xml:space="preserve">Purpose. </w:t>
      </w:r>
      <w:r>
        <w:rPr>
          <w:rFonts w:ascii="Aptos" w:hAnsi="Aptos" w:eastAsia="Aptos"/>
          <w:color w:val="162239"/>
          <w:sz w:val="20"/>
        </w:rPr>
        <w:t>The purpose of this Addendum is to protect customers, the public, the Marks, the System, confidential information, and the business reputation associated with The Phoenix Store Online while preserving Franchisee’s lawful rights and independent business status.</w:t>
      </w:r>
    </w:p>
    <w:p>
      <w:pPr>
        <w:spacing w:before="60" w:after="80" w:line="269" w:lineRule="auto"/>
        <w:ind w:left="0" w:firstLine="0"/>
        <w:keepLines/>
      </w:pPr>
      <w:r>
        <w:rPr>
          <w:rFonts w:ascii="Aptos" w:hAnsi="Aptos" w:eastAsia="Aptos"/>
          <w:b/>
          <w:color w:val="0B1F44"/>
          <w:sz w:val="20"/>
        </w:rPr>
        <w:t xml:space="preserve">1.3 </w:t>
      </w:r>
      <w:r>
        <w:rPr>
          <w:rFonts w:ascii="Aptos" w:hAnsi="Aptos" w:eastAsia="Aptos"/>
          <w:b/>
          <w:color w:val="162239"/>
          <w:sz w:val="20"/>
        </w:rPr>
        <w:t xml:space="preserve">Limited and Objective Construction. </w:t>
      </w:r>
      <w:r>
        <w:rPr>
          <w:rFonts w:ascii="Aptos" w:hAnsi="Aptos" w:eastAsia="Aptos"/>
          <w:color w:val="162239"/>
          <w:sz w:val="20"/>
        </w:rPr>
        <w:t>The parties intend this Addendum to be interpreted using the specific standards stated below. “Morality” does not mean personal preference, private disagreement, lawful off-duty activity that is unrelated to the Franchised Business, protected status, or a requirement that Franchisee adopt Franchisor’s personal, religious, political, or social views.</w:t>
      </w:r>
    </w:p>
    <w:p>
      <w:pPr>
        <w:spacing w:before="60" w:after="80" w:line="269" w:lineRule="auto"/>
        <w:ind w:left="0" w:firstLine="0"/>
        <w:keepLines/>
      </w:pPr>
      <w:r>
        <w:rPr>
          <w:rFonts w:ascii="Aptos" w:hAnsi="Aptos" w:eastAsia="Aptos"/>
          <w:b/>
          <w:color w:val="0B1F44"/>
          <w:sz w:val="20"/>
        </w:rPr>
        <w:t xml:space="preserve">1.4 </w:t>
      </w:r>
      <w:r>
        <w:rPr>
          <w:rFonts w:ascii="Aptos" w:hAnsi="Aptos" w:eastAsia="Aptos"/>
          <w:b/>
          <w:color w:val="162239"/>
          <w:sz w:val="20"/>
        </w:rPr>
        <w:t xml:space="preserve">Order of Precedence. </w:t>
      </w:r>
      <w:r>
        <w:rPr>
          <w:rFonts w:ascii="Aptos" w:hAnsi="Aptos" w:eastAsia="Aptos"/>
          <w:color w:val="162239"/>
          <w:sz w:val="20"/>
        </w:rPr>
        <w:t>If this Addendum conflicts with the Agreement, this Addendum controls only as to morality, brand-reputation, social-media, official-account, and related conduct matters. The Agreement controls as to all other matters. No policy, Manual update, email, text message, or oral statement may expand this Addendum in a manner that conflicts with the Agreement, the current Franchise Disclosure Document, or applicable law.</w:t>
      </w:r>
    </w:p>
    <w:p>
      <w:pPr>
        <w:spacing w:before="280" w:after="120" w:line="240" w:lineRule="auto"/>
        <w:pBdr>
          <w:bottom w:val="single" w:sz="10" w:space="6" w:color="C8902F"/>
        </w:pBdr>
        <w:keepNext/>
        <w:keepLines/>
        <w:keepLines/>
      </w:pPr>
      <w:r>
        <w:rPr>
          <w:rFonts w:ascii="Aptos" w:hAnsi="Aptos" w:eastAsia="Aptos"/>
          <w:b/>
          <w:color w:val="0B1F44"/>
          <w:sz w:val="24"/>
        </w:rPr>
        <w:t>2. MORALITY POLICY: PROFESSIONAL INTEGRITY AND BRAND REPUTATION</w:t>
      </w:r>
    </w:p>
    <w:p>
      <w:pPr>
        <w:spacing w:before="60" w:after="80" w:line="269" w:lineRule="auto"/>
        <w:ind w:left="0" w:firstLine="0"/>
        <w:keepLines/>
      </w:pPr>
      <w:r>
        <w:rPr>
          <w:rFonts w:ascii="Aptos" w:hAnsi="Aptos" w:eastAsia="Aptos"/>
          <w:b/>
          <w:color w:val="0B1F44"/>
          <w:sz w:val="20"/>
        </w:rPr>
        <w:t xml:space="preserve">2.1 </w:t>
      </w:r>
      <w:r>
        <w:rPr>
          <w:rFonts w:ascii="Aptos" w:hAnsi="Aptos" w:eastAsia="Aptos"/>
          <w:b/>
          <w:color w:val="162239"/>
          <w:sz w:val="20"/>
        </w:rPr>
        <w:t xml:space="preserve">Covered Persons and Conduct. </w:t>
      </w:r>
      <w:r>
        <w:rPr>
          <w:rFonts w:ascii="Aptos" w:hAnsi="Aptos" w:eastAsia="Aptos"/>
          <w:color w:val="162239"/>
          <w:sz w:val="20"/>
        </w:rPr>
        <w:t>Franchisee shall comply with this Section and shall use reasonable business efforts to ensure that its owners, responsible manager, officers, employees, contractors, and persons acting with authority on behalf of the Franchised Business comply when their conduct is connected to the Franchised Business, the Marks, the System, customer interactions, or official business channels.</w:t>
      </w:r>
    </w:p>
    <w:p>
      <w:pPr>
        <w:spacing w:before="60" w:after="80" w:line="269" w:lineRule="auto"/>
        <w:ind w:left="0" w:firstLine="0"/>
        <w:keepLines/>
      </w:pPr>
      <w:r>
        <w:rPr>
          <w:rFonts w:ascii="Aptos" w:hAnsi="Aptos" w:eastAsia="Aptos"/>
          <w:b/>
          <w:color w:val="0B1F44"/>
          <w:sz w:val="20"/>
        </w:rPr>
        <w:t xml:space="preserve">2.2 </w:t>
      </w:r>
      <w:r>
        <w:rPr>
          <w:rFonts w:ascii="Aptos" w:hAnsi="Aptos" w:eastAsia="Aptos"/>
          <w:b/>
          <w:color w:val="162239"/>
          <w:sz w:val="20"/>
        </w:rPr>
        <w:t xml:space="preserve">Professional Integrity Standard. </w:t>
      </w:r>
      <w:r>
        <w:rPr>
          <w:rFonts w:ascii="Aptos" w:hAnsi="Aptos" w:eastAsia="Aptos"/>
          <w:color w:val="162239"/>
          <w:sz w:val="20"/>
        </w:rPr>
        <w:t>Franchisee shall conduct the Franchised Business honestly, professionally, and lawfully. Franchisee shall not engage in conduct that is materially inconsistent with customer safety, product integrity, fair dealing, privacy, nondiscrimination, or the truthful marketing of Approved Products and services.</w:t>
      </w:r>
    </w:p>
    <w:p>
      <w:pPr>
        <w:spacing w:before="60" w:after="80" w:line="269" w:lineRule="auto"/>
        <w:ind w:left="0" w:firstLine="0"/>
        <w:keepLines/>
      </w:pPr>
      <w:r>
        <w:rPr>
          <w:rFonts w:ascii="Aptos" w:hAnsi="Aptos" w:eastAsia="Aptos"/>
          <w:b/>
          <w:color w:val="0B1F44"/>
          <w:sz w:val="20"/>
        </w:rPr>
        <w:t xml:space="preserve">2.3 </w:t>
      </w:r>
      <w:r>
        <w:rPr>
          <w:rFonts w:ascii="Aptos" w:hAnsi="Aptos" w:eastAsia="Aptos"/>
          <w:b/>
          <w:color w:val="162239"/>
          <w:sz w:val="20"/>
        </w:rPr>
        <w:t xml:space="preserve">Materially Adverse Conduct. </w:t>
      </w:r>
      <w:r>
        <w:rPr>
          <w:rFonts w:ascii="Aptos" w:hAnsi="Aptos" w:eastAsia="Aptos"/>
          <w:color w:val="162239"/>
          <w:sz w:val="20"/>
        </w:rPr>
        <w:t>For purposes of this Addendum, “Materially Adverse Conduct” means conduct that has a substantial, objectively reasonable connection to the Franchised Business or the Marks and that is reasonably likely to cause material customer harm, legal noncompliance, loss of consumer trust, substantial reputational injury, or impairment of the System. Mere criticism, an unverified allegation, or a private lawful opinion does not, by itself, constitute Materially Adverse Conduct.</w:t>
      </w:r>
    </w:p>
    <w:p>
      <w:pPr>
        <w:spacing w:before="200" w:after="80" w:line="240" w:lineRule="auto"/>
        <w:keepNext/>
        <w:keepLines/>
        <w:keepLines/>
      </w:pPr>
      <w:r>
        <w:rPr>
          <w:rFonts w:ascii="Aptos" w:hAnsi="Aptos" w:eastAsia="Aptos"/>
          <w:b/>
          <w:color w:val="112A55"/>
          <w:sz w:val="21"/>
        </w:rPr>
        <w:t>2.4 Prohibited Conduct</w:t>
      </w:r>
    </w:p>
    <w:p>
      <w:pPr>
        <w:spacing w:after="40" w:line="259" w:lineRule="auto"/>
        <w:ind w:left="403" w:hanging="230"/>
        <w:keepLines/>
      </w:pPr>
      <w:r>
        <w:rPr>
          <w:rFonts w:ascii="Aptos" w:hAnsi="Aptos" w:eastAsia="Aptos"/>
          <w:b/>
          <w:color w:val="C8902F"/>
          <w:sz w:val="20"/>
        </w:rPr>
        <w:t xml:space="preserve">• </w:t>
      </w:r>
      <w:r>
        <w:rPr>
          <w:rFonts w:ascii="Aptos" w:hAnsi="Aptos" w:eastAsia="Aptos"/>
          <w:color w:val="162239"/>
          <w:sz w:val="20"/>
        </w:rPr>
        <w:t>Knowingly making a materially false, deceptive, or misleading statement about an Approved Product, a customer order, the Franchisor, the System, pricing, product characteristics, delivery timing, or Franchisee’s authority.</w:t>
      </w:r>
    </w:p>
    <w:p>
      <w:pPr>
        <w:spacing w:after="40" w:line="259" w:lineRule="auto"/>
        <w:ind w:left="403" w:hanging="230"/>
        <w:keepLines/>
      </w:pPr>
      <w:r>
        <w:rPr>
          <w:rFonts w:ascii="Aptos" w:hAnsi="Aptos" w:eastAsia="Aptos"/>
          <w:b/>
          <w:color w:val="C8902F"/>
          <w:sz w:val="20"/>
        </w:rPr>
        <w:t xml:space="preserve">• </w:t>
      </w:r>
      <w:r>
        <w:rPr>
          <w:rFonts w:ascii="Aptos" w:hAnsi="Aptos" w:eastAsia="Aptos"/>
          <w:color w:val="162239"/>
          <w:sz w:val="20"/>
        </w:rPr>
        <w:t>Engaging in fraud, forgery, theft, embezzlement, identity theft, intentional misappropriation, bribery, or another dishonest act in connection with the Franchised Business, customer funds, customer data, or the Marks.</w:t>
      </w:r>
    </w:p>
    <w:p>
      <w:pPr>
        <w:spacing w:after="40" w:line="259" w:lineRule="auto"/>
        <w:ind w:left="403" w:hanging="230"/>
        <w:keepLines/>
      </w:pPr>
      <w:r>
        <w:rPr>
          <w:rFonts w:ascii="Aptos" w:hAnsi="Aptos" w:eastAsia="Aptos"/>
          <w:b/>
          <w:color w:val="C8902F"/>
          <w:sz w:val="20"/>
        </w:rPr>
        <w:t xml:space="preserve">• </w:t>
      </w:r>
      <w:r>
        <w:rPr>
          <w:rFonts w:ascii="Aptos" w:hAnsi="Aptos" w:eastAsia="Aptos"/>
          <w:color w:val="162239"/>
          <w:sz w:val="20"/>
        </w:rPr>
        <w:t>Harassing, threatening, stalking, discriminating against, or retaliating against a customer, employee, contractor, applicant, vendor, or other person on a basis prohibited by applicable law, or using any official brand channel to promote or facilitate such conduct.</w:t>
      </w:r>
    </w:p>
    <w:p>
      <w:pPr>
        <w:spacing w:after="40" w:line="259" w:lineRule="auto"/>
        <w:ind w:left="403" w:hanging="230"/>
        <w:keepLines/>
      </w:pPr>
      <w:r>
        <w:rPr>
          <w:rFonts w:ascii="Aptos" w:hAnsi="Aptos" w:eastAsia="Aptos"/>
          <w:b/>
          <w:color w:val="C8902F"/>
          <w:sz w:val="20"/>
        </w:rPr>
        <w:t xml:space="preserve">• </w:t>
      </w:r>
      <w:r>
        <w:rPr>
          <w:rFonts w:ascii="Aptos" w:hAnsi="Aptos" w:eastAsia="Aptos"/>
          <w:color w:val="162239"/>
          <w:sz w:val="20"/>
        </w:rPr>
        <w:t>Using the Marks, System, or Franchised Business to promote violence, unlawful activity, exploitation, hate-based harassment, sexually explicit material not appropriate for the authorized business audience, or content that is materially inconsistent with the approved brand standards.</w:t>
      </w:r>
    </w:p>
    <w:p>
      <w:pPr>
        <w:spacing w:after="40" w:line="259" w:lineRule="auto"/>
        <w:ind w:left="403" w:hanging="230"/>
        <w:keepLines/>
      </w:pPr>
      <w:r>
        <w:rPr>
          <w:rFonts w:ascii="Aptos" w:hAnsi="Aptos" w:eastAsia="Aptos"/>
          <w:b/>
          <w:color w:val="C8902F"/>
          <w:sz w:val="20"/>
        </w:rPr>
        <w:t xml:space="preserve">• </w:t>
      </w:r>
      <w:r>
        <w:rPr>
          <w:rFonts w:ascii="Aptos" w:hAnsi="Aptos" w:eastAsia="Aptos"/>
          <w:color w:val="162239"/>
          <w:sz w:val="20"/>
        </w:rPr>
        <w:t>Knowingly violating applicable consumer-protection, advertising, privacy, data-security, intellectual-property, tax, licensing, or employment law in a manner material to the Franchised Business.</w:t>
      </w:r>
    </w:p>
    <w:p>
      <w:pPr>
        <w:spacing w:after="40" w:line="259" w:lineRule="auto"/>
        <w:ind w:left="403" w:hanging="230"/>
        <w:keepLines/>
      </w:pPr>
      <w:r>
        <w:rPr>
          <w:rFonts w:ascii="Aptos" w:hAnsi="Aptos" w:eastAsia="Aptos"/>
          <w:b/>
          <w:color w:val="C8902F"/>
          <w:sz w:val="20"/>
        </w:rPr>
        <w:t xml:space="preserve">• </w:t>
      </w:r>
      <w:r>
        <w:rPr>
          <w:rFonts w:ascii="Aptos" w:hAnsi="Aptos" w:eastAsia="Aptos"/>
          <w:color w:val="162239"/>
          <w:sz w:val="20"/>
        </w:rPr>
        <w:t>Misusing customer information, credentials, payment information, QR/NFC destinations, business-account access, or Confidential Information; or intentionally failing to report a known material data incident as required by the Agreement.</w:t>
      </w:r>
    </w:p>
    <w:p>
      <w:pPr>
        <w:spacing w:after="40" w:line="259" w:lineRule="auto"/>
        <w:ind w:left="403" w:hanging="230"/>
        <w:keepLines/>
      </w:pPr>
      <w:r>
        <w:rPr>
          <w:rFonts w:ascii="Aptos" w:hAnsi="Aptos" w:eastAsia="Aptos"/>
          <w:b/>
          <w:color w:val="C8902F"/>
          <w:sz w:val="20"/>
        </w:rPr>
        <w:t xml:space="preserve">• </w:t>
      </w:r>
      <w:r>
        <w:rPr>
          <w:rFonts w:ascii="Aptos" w:hAnsi="Aptos" w:eastAsia="Aptos"/>
          <w:color w:val="162239"/>
          <w:sz w:val="20"/>
        </w:rPr>
        <w:t>Making an unauthorized medical, emergency-response, safety, legal, financial, or other regulated-professional claim in connection with the Franchised Business, including any claim prohibited by the Agreement or the Reserved Medical Information Products rules.</w:t>
      </w:r>
    </w:p>
    <w:p>
      <w:pPr>
        <w:spacing w:before="60" w:after="80" w:line="269" w:lineRule="auto"/>
        <w:ind w:left="0" w:firstLine="0"/>
        <w:keepLines/>
      </w:pPr>
      <w:r>
        <w:rPr>
          <w:rFonts w:ascii="Aptos" w:hAnsi="Aptos" w:eastAsia="Aptos"/>
          <w:b/>
          <w:color w:val="0B1F44"/>
          <w:sz w:val="20"/>
        </w:rPr>
        <w:t xml:space="preserve">2.5 </w:t>
      </w:r>
      <w:r>
        <w:rPr>
          <w:rFonts w:ascii="Aptos" w:hAnsi="Aptos" w:eastAsia="Aptos"/>
          <w:b/>
          <w:color w:val="162239"/>
          <w:sz w:val="20"/>
        </w:rPr>
        <w:t xml:space="preserve">Criminal Matters and Serious Misconduct. </w:t>
      </w:r>
      <w:r>
        <w:rPr>
          <w:rFonts w:ascii="Aptos" w:hAnsi="Aptos" w:eastAsia="Aptos"/>
          <w:color w:val="162239"/>
          <w:sz w:val="20"/>
        </w:rPr>
        <w:t>A final criminal conviction, guilty plea, or plea of nolo contendere involving fraud, theft, financial dishonesty, violence, sexual misconduct, exploitation of a vulnerable person, identity theft, or a crime materially connected to the Franchised Business may constitute Materially Adverse Conduct. An arrest, charge, investigation, rumor, or allegation alone is not a breach; however, Franchisor may take reasonable interim protective action when credible, documented facts indicate an immediate risk to customers, data, the Marks, or ongoing operations.</w:t>
      </w:r>
    </w:p>
    <w:p>
      <w:pPr>
        <w:spacing w:before="60" w:after="80" w:line="269" w:lineRule="auto"/>
        <w:ind w:left="0" w:firstLine="0"/>
        <w:keepLines/>
      </w:pPr>
      <w:r>
        <w:rPr>
          <w:rFonts w:ascii="Aptos" w:hAnsi="Aptos" w:eastAsia="Aptos"/>
          <w:b/>
          <w:color w:val="0B1F44"/>
          <w:sz w:val="20"/>
        </w:rPr>
        <w:t xml:space="preserve">2.6 </w:t>
      </w:r>
      <w:r>
        <w:rPr>
          <w:rFonts w:ascii="Aptos" w:hAnsi="Aptos" w:eastAsia="Aptos"/>
          <w:b/>
          <w:color w:val="162239"/>
          <w:sz w:val="20"/>
        </w:rPr>
        <w:t xml:space="preserve">No Discriminatory or Retaliatory Application. </w:t>
      </w:r>
      <w:r>
        <w:rPr>
          <w:rFonts w:ascii="Aptos" w:hAnsi="Aptos" w:eastAsia="Aptos"/>
          <w:color w:val="162239"/>
          <w:sz w:val="20"/>
        </w:rPr>
        <w:t>Franchisor shall administer this Addendum consistently and in good faith. No remedy may be imposed solely because of Franchisee’s race, color, religion, sex, pregnancy, national origin, age, disability, veteran status, sexual orientation, gender identity, lawful political viewpoint, lawful religious observance, or other status protected by applicable law.</w:t>
      </w:r>
    </w:p>
    <w:p>
      <w:pPr>
        <w:spacing w:before="280" w:after="120" w:line="240" w:lineRule="auto"/>
        <w:pBdr>
          <w:bottom w:val="single" w:sz="10" w:space="6" w:color="C8902F"/>
        </w:pBdr>
        <w:keepNext/>
        <w:keepLines/>
        <w:keepLines/>
      </w:pPr>
      <w:r>
        <w:rPr>
          <w:rFonts w:ascii="Aptos" w:hAnsi="Aptos" w:eastAsia="Aptos"/>
          <w:b/>
          <w:color w:val="0B1F44"/>
          <w:sz w:val="24"/>
        </w:rPr>
        <w:t>3. SOCIAL MEDIA CONDUCT POLICY</w:t>
      </w:r>
    </w:p>
    <w:p>
      <w:pPr>
        <w:spacing w:before="60" w:after="80" w:line="269" w:lineRule="auto"/>
        <w:ind w:left="0" w:firstLine="0"/>
        <w:keepLines/>
      </w:pPr>
      <w:r>
        <w:rPr>
          <w:rFonts w:ascii="Aptos" w:hAnsi="Aptos" w:eastAsia="Aptos"/>
          <w:b/>
          <w:color w:val="0B1F44"/>
          <w:sz w:val="20"/>
        </w:rPr>
        <w:t xml:space="preserve">3.1 </w:t>
      </w:r>
      <w:r>
        <w:rPr>
          <w:rFonts w:ascii="Aptos" w:hAnsi="Aptos" w:eastAsia="Aptos"/>
          <w:b/>
          <w:color w:val="162239"/>
          <w:sz w:val="20"/>
        </w:rPr>
        <w:t xml:space="preserve">Definitions. </w:t>
      </w:r>
      <w:r>
        <w:rPr>
          <w:rFonts w:ascii="Aptos" w:hAnsi="Aptos" w:eastAsia="Aptos"/>
          <w:color w:val="162239"/>
          <w:sz w:val="20"/>
        </w:rPr>
        <w:t>“Official Business Account” means any social-media profile, page, group, marketplace profile, review-management profile, paid-advertising account, messaging account, domain-connected profile, or other digital account that uses or primarily features the Marks, the System, the Franchised Business, or an approved local Phoenix Store Online identity. “Personal Account” means an account used principally for an individual’s private communications and not presented as an official account of the Franchised Business.</w:t>
      </w:r>
    </w:p>
    <w:p>
      <w:pPr>
        <w:spacing w:before="60" w:after="80" w:line="269" w:lineRule="auto"/>
        <w:ind w:left="0" w:firstLine="0"/>
        <w:keepLines/>
      </w:pPr>
      <w:r>
        <w:rPr>
          <w:rFonts w:ascii="Aptos" w:hAnsi="Aptos" w:eastAsia="Aptos"/>
          <w:b/>
          <w:color w:val="0B1F44"/>
          <w:sz w:val="20"/>
        </w:rPr>
        <w:t xml:space="preserve">3.2 </w:t>
      </w:r>
      <w:r>
        <w:rPr>
          <w:rFonts w:ascii="Aptos" w:hAnsi="Aptos" w:eastAsia="Aptos"/>
          <w:b/>
          <w:color w:val="162239"/>
          <w:sz w:val="20"/>
        </w:rPr>
        <w:t xml:space="preserve">Official Account Authorization. </w:t>
      </w:r>
      <w:r>
        <w:rPr>
          <w:rFonts w:ascii="Aptos" w:hAnsi="Aptos" w:eastAsia="Aptos"/>
          <w:color w:val="162239"/>
          <w:sz w:val="20"/>
        </w:rPr>
        <w:t>Franchisee may establish or use an Official Business Account only with Franchisor’s prior written approval as required by the Agreement or Manual. Franchisee shall use approved account names, handles, logos, profile descriptions, disclaimers, links, imagery, and customer-contact information. Franchisee shall maintain accurate account-inventory information and administrative access as required by Exhibit A.</w:t>
      </w:r>
    </w:p>
    <w:p>
      <w:pPr>
        <w:spacing w:before="60" w:after="80" w:line="269" w:lineRule="auto"/>
        <w:ind w:left="0" w:firstLine="0"/>
        <w:keepLines/>
      </w:pPr>
      <w:r>
        <w:rPr>
          <w:rFonts w:ascii="Aptos" w:hAnsi="Aptos" w:eastAsia="Aptos"/>
          <w:b/>
          <w:color w:val="0B1F44"/>
          <w:sz w:val="20"/>
        </w:rPr>
        <w:t xml:space="preserve">3.3 </w:t>
      </w:r>
      <w:r>
        <w:rPr>
          <w:rFonts w:ascii="Aptos" w:hAnsi="Aptos" w:eastAsia="Aptos"/>
          <w:b/>
          <w:color w:val="162239"/>
          <w:sz w:val="20"/>
        </w:rPr>
        <w:t xml:space="preserve">Brand Ownership and Transfer. </w:t>
      </w:r>
      <w:r>
        <w:rPr>
          <w:rFonts w:ascii="Aptos" w:hAnsi="Aptos" w:eastAsia="Aptos"/>
          <w:color w:val="162239"/>
          <w:sz w:val="20"/>
        </w:rPr>
        <w:t>As provided in the Agreement, Official Business Accounts that incorporate or primarily use the Marks or System are brand-related digital assets. Franchisee shall not transfer, rename, delete, monetize, pledge, restrict access to, or materially alter any Official Business Account without authorization. Upon expiration, termination, transfer, or written request under the Agreement, Franchisee shall provide administrative access and cooperate in an orderly transfer of applicable brand-related digital assets.</w:t>
      </w:r>
    </w:p>
    <w:p>
      <w:pPr>
        <w:spacing w:before="60" w:after="80" w:line="269" w:lineRule="auto"/>
        <w:ind w:left="0" w:firstLine="0"/>
        <w:keepLines/>
      </w:pPr>
      <w:r>
        <w:rPr>
          <w:rFonts w:ascii="Aptos" w:hAnsi="Aptos" w:eastAsia="Aptos"/>
          <w:b/>
          <w:color w:val="0B1F44"/>
          <w:sz w:val="20"/>
        </w:rPr>
        <w:t xml:space="preserve">3.4 </w:t>
      </w:r>
      <w:r>
        <w:rPr>
          <w:rFonts w:ascii="Aptos" w:hAnsi="Aptos" w:eastAsia="Aptos"/>
          <w:b/>
          <w:color w:val="162239"/>
          <w:sz w:val="20"/>
        </w:rPr>
        <w:t xml:space="preserve">Content and Communications Standard. </w:t>
      </w:r>
      <w:r>
        <w:rPr>
          <w:rFonts w:ascii="Aptos" w:hAnsi="Aptos" w:eastAsia="Aptos"/>
          <w:color w:val="162239"/>
          <w:sz w:val="20"/>
        </w:rPr>
        <w:t>All content posted, sent, boosted, sponsored, shared, commented upon, or otherwise communicated through an Official Business Account must be accurate, lawful, professional, consistent with the Manual, and suitable for the customer audience. Franchisee remains responsible for content published by its personnel, agencies, contractors, influencers, and anyone acting with Franchisee’s permission or under Franchisee’s control.</w:t>
      </w:r>
    </w:p>
    <w:p>
      <w:pPr>
        <w:spacing w:before="200" w:after="80" w:line="240" w:lineRule="auto"/>
        <w:keepNext/>
        <w:keepLines/>
        <w:keepLines/>
      </w:pPr>
      <w:r>
        <w:rPr>
          <w:rFonts w:ascii="Aptos" w:hAnsi="Aptos" w:eastAsia="Aptos"/>
          <w:b/>
          <w:color w:val="112A55"/>
          <w:sz w:val="21"/>
        </w:rPr>
        <w:t>3.5 Prohibited Social-Media Conduct</w:t>
      </w:r>
    </w:p>
    <w:p>
      <w:pPr>
        <w:spacing w:after="40" w:line="259" w:lineRule="auto"/>
        <w:ind w:left="403" w:hanging="230"/>
        <w:keepLines/>
      </w:pPr>
      <w:r>
        <w:rPr>
          <w:rFonts w:ascii="Aptos" w:hAnsi="Aptos" w:eastAsia="Aptos"/>
          <w:b/>
          <w:color w:val="C8902F"/>
          <w:sz w:val="20"/>
        </w:rPr>
        <w:t xml:space="preserve">• </w:t>
      </w:r>
      <w:r>
        <w:rPr>
          <w:rFonts w:ascii="Aptos" w:hAnsi="Aptos" w:eastAsia="Aptos"/>
          <w:color w:val="162239"/>
          <w:sz w:val="20"/>
        </w:rPr>
        <w:t>Publishing, sharing, or amplifying content that Franchisee knows is materially false, deceptive, defamatory, infringing, fraudulent, discriminatory, harassing, threatening, or unlawful.</w:t>
      </w:r>
    </w:p>
    <w:p>
      <w:pPr>
        <w:spacing w:after="40" w:line="259" w:lineRule="auto"/>
        <w:ind w:left="403" w:hanging="230"/>
        <w:keepLines/>
      </w:pPr>
      <w:r>
        <w:rPr>
          <w:rFonts w:ascii="Aptos" w:hAnsi="Aptos" w:eastAsia="Aptos"/>
          <w:b/>
          <w:color w:val="C8902F"/>
          <w:sz w:val="20"/>
        </w:rPr>
        <w:t xml:space="preserve">• </w:t>
      </w:r>
      <w:r>
        <w:rPr>
          <w:rFonts w:ascii="Aptos" w:hAnsi="Aptos" w:eastAsia="Aptos"/>
          <w:color w:val="162239"/>
          <w:sz w:val="20"/>
        </w:rPr>
        <w:t>Making unsubstantiated performance, pricing, product, health, safety, emergency-response, legal, financial, or professional-service claims; using testimonials or endorsements without disclosures required by applicable law; or representing that a product is approved, guaranteed, certified, or endorsed when Franchisor has not authorized that representation.</w:t>
      </w:r>
    </w:p>
    <w:p>
      <w:pPr>
        <w:spacing w:after="40" w:line="259" w:lineRule="auto"/>
        <w:ind w:left="403" w:hanging="230"/>
        <w:keepLines/>
      </w:pPr>
      <w:r>
        <w:rPr>
          <w:rFonts w:ascii="Aptos" w:hAnsi="Aptos" w:eastAsia="Aptos"/>
          <w:b/>
          <w:color w:val="C8902F"/>
          <w:sz w:val="20"/>
        </w:rPr>
        <w:t xml:space="preserve">• </w:t>
      </w:r>
      <w:r>
        <w:rPr>
          <w:rFonts w:ascii="Aptos" w:hAnsi="Aptos" w:eastAsia="Aptos"/>
          <w:color w:val="162239"/>
          <w:sz w:val="20"/>
        </w:rPr>
        <w:t>Posting, transmitting, or displaying customer personal information, payment information, account credentials, private communications, protected health information, emergency-contact information, order details, or images of customers without lawful authority and required consent.</w:t>
      </w:r>
    </w:p>
    <w:p>
      <w:pPr>
        <w:spacing w:after="40" w:line="259" w:lineRule="auto"/>
        <w:ind w:left="403" w:hanging="230"/>
        <w:keepLines/>
      </w:pPr>
      <w:r>
        <w:rPr>
          <w:rFonts w:ascii="Aptos" w:hAnsi="Aptos" w:eastAsia="Aptos"/>
          <w:b/>
          <w:color w:val="C8902F"/>
          <w:sz w:val="20"/>
        </w:rPr>
        <w:t xml:space="preserve">• </w:t>
      </w:r>
      <w:r>
        <w:rPr>
          <w:rFonts w:ascii="Aptos" w:hAnsi="Aptos" w:eastAsia="Aptos"/>
          <w:color w:val="162239"/>
          <w:sz w:val="20"/>
        </w:rPr>
        <w:t>Using Official Business Accounts to promote a competing business, unrelated affiliate, personal fundraising campaign, political candidate, ballot measure, religious institution, age-restricted product, or other unrelated cause without Franchisor’s written approval.</w:t>
      </w:r>
    </w:p>
    <w:p>
      <w:pPr>
        <w:spacing w:after="40" w:line="259" w:lineRule="auto"/>
        <w:ind w:left="403" w:hanging="230"/>
        <w:keepLines/>
      </w:pPr>
      <w:r>
        <w:rPr>
          <w:rFonts w:ascii="Aptos" w:hAnsi="Aptos" w:eastAsia="Aptos"/>
          <w:b/>
          <w:color w:val="C8902F"/>
          <w:sz w:val="20"/>
        </w:rPr>
        <w:t xml:space="preserve">• </w:t>
      </w:r>
      <w:r>
        <w:rPr>
          <w:rFonts w:ascii="Aptos" w:hAnsi="Aptos" w:eastAsia="Aptos"/>
          <w:color w:val="162239"/>
          <w:sz w:val="20"/>
        </w:rPr>
        <w:t>Purchasing fake followers, false reviews, deceptive engagement, undisclosed advertising, or any automated, misleading, or unlawful promotional activity.</w:t>
      </w:r>
    </w:p>
    <w:p>
      <w:pPr>
        <w:spacing w:after="40" w:line="259" w:lineRule="auto"/>
        <w:ind w:left="403" w:hanging="230"/>
        <w:keepLines/>
      </w:pPr>
      <w:r>
        <w:rPr>
          <w:rFonts w:ascii="Aptos" w:hAnsi="Aptos" w:eastAsia="Aptos"/>
          <w:b/>
          <w:color w:val="C8902F"/>
          <w:sz w:val="20"/>
        </w:rPr>
        <w:t xml:space="preserve">• </w:t>
      </w:r>
      <w:r>
        <w:rPr>
          <w:rFonts w:ascii="Aptos" w:hAnsi="Aptos" w:eastAsia="Aptos"/>
          <w:color w:val="162239"/>
          <w:sz w:val="20"/>
        </w:rPr>
        <w:t>Using music, images, logos, video, copy, templates, or other intellectual property without appropriate rights, licenses, permissions, or an applicable legal exception.</w:t>
      </w:r>
    </w:p>
    <w:p>
      <w:pPr>
        <w:spacing w:after="40" w:line="259" w:lineRule="auto"/>
        <w:ind w:left="403" w:hanging="230"/>
        <w:keepLines/>
      </w:pPr>
      <w:r>
        <w:rPr>
          <w:rFonts w:ascii="Aptos" w:hAnsi="Aptos" w:eastAsia="Aptos"/>
          <w:b/>
          <w:color w:val="C8902F"/>
          <w:sz w:val="20"/>
        </w:rPr>
        <w:t xml:space="preserve">• </w:t>
      </w:r>
      <w:r>
        <w:rPr>
          <w:rFonts w:ascii="Aptos" w:hAnsi="Aptos" w:eastAsia="Aptos"/>
          <w:color w:val="162239"/>
          <w:sz w:val="20"/>
        </w:rPr>
        <w:t>Responding to customers, reviewers, media, regulators, or public-safety partners in a hostile, retaliatory, obscene, threatening, or abusive manner, or attempting to suppress a lawful consumer review through intimidation or deception.</w:t>
      </w:r>
    </w:p>
    <w:p>
      <w:pPr>
        <w:spacing w:after="40" w:line="259" w:lineRule="auto"/>
        <w:ind w:left="403" w:hanging="230"/>
        <w:keepLines/>
      </w:pPr>
      <w:r>
        <w:rPr>
          <w:rFonts w:ascii="Aptos" w:hAnsi="Aptos" w:eastAsia="Aptos"/>
          <w:b/>
          <w:color w:val="C8902F"/>
          <w:sz w:val="20"/>
        </w:rPr>
        <w:t xml:space="preserve">• </w:t>
      </w:r>
      <w:r>
        <w:rPr>
          <w:rFonts w:ascii="Aptos" w:hAnsi="Aptos" w:eastAsia="Aptos"/>
          <w:color w:val="162239"/>
          <w:sz w:val="20"/>
        </w:rPr>
        <w:t>Creating or using a page, handle, domain, or paid-ad campaign that is confusingly similar to Franchisor’s Marks but has not been approved, or that falsely suggests the account speaks for Franchisor, an affiliate, or a public authority.</w:t>
      </w:r>
    </w:p>
    <w:p>
      <w:pPr>
        <w:spacing w:before="60" w:after="80" w:line="269" w:lineRule="auto"/>
        <w:ind w:left="0" w:firstLine="0"/>
        <w:keepLines/>
      </w:pPr>
      <w:r>
        <w:rPr>
          <w:rFonts w:ascii="Aptos" w:hAnsi="Aptos" w:eastAsia="Aptos"/>
          <w:b/>
          <w:color w:val="0B1F44"/>
          <w:sz w:val="20"/>
        </w:rPr>
        <w:t xml:space="preserve">3.6 </w:t>
      </w:r>
      <w:r>
        <w:rPr>
          <w:rFonts w:ascii="Aptos" w:hAnsi="Aptos" w:eastAsia="Aptos"/>
          <w:b/>
          <w:color w:val="162239"/>
          <w:sz w:val="20"/>
        </w:rPr>
        <w:t xml:space="preserve">Personal Accounts and Protected Expression. </w:t>
      </w:r>
      <w:r>
        <w:rPr>
          <w:rFonts w:ascii="Aptos" w:hAnsi="Aptos" w:eastAsia="Aptos"/>
          <w:color w:val="162239"/>
          <w:sz w:val="20"/>
        </w:rPr>
        <w:t>This Addendum does not require Franchisee or its personnel to provide passwords, private direct messages, or access to Personal Accounts. It does not prohibit lawful personal speech, good-faith customer feedback, participation in legal proceedings, protected concerted activity, whistleblowing, or reports to government agencies. When a Personal Account expressly identifies the person as associated with the Franchised Business or uses the Marks, the person shall not falsely purport to speak for Franchisor, disclose Confidential Information, misuse customer information, or make unauthorized regulated-product claims.</w:t>
      </w:r>
    </w:p>
    <w:p>
      <w:pPr>
        <w:spacing w:before="60" w:after="80" w:line="269" w:lineRule="auto"/>
        <w:ind w:left="0" w:firstLine="0"/>
        <w:keepLines/>
      </w:pPr>
      <w:r>
        <w:rPr>
          <w:rFonts w:ascii="Aptos" w:hAnsi="Aptos" w:eastAsia="Aptos"/>
          <w:b/>
          <w:color w:val="0B1F44"/>
          <w:sz w:val="20"/>
        </w:rPr>
        <w:t xml:space="preserve">3.7 </w:t>
      </w:r>
      <w:r>
        <w:rPr>
          <w:rFonts w:ascii="Aptos" w:hAnsi="Aptos" w:eastAsia="Aptos"/>
          <w:b/>
          <w:color w:val="162239"/>
          <w:sz w:val="20"/>
        </w:rPr>
        <w:t xml:space="preserve">Political, Religious, and Community Content. </w:t>
      </w:r>
      <w:r>
        <w:rPr>
          <w:rFonts w:ascii="Aptos" w:hAnsi="Aptos" w:eastAsia="Aptos"/>
          <w:color w:val="162239"/>
          <w:sz w:val="20"/>
        </w:rPr>
        <w:t>Franchisee may express lawful personal political, religious, civic, or community views through a Personal Account, provided the account does not use the Marks or imply Franchisor endorsement. Official Business Accounts must remain focused on approved business, customer-service, and community content and may not be used to endorse or oppose candidates, political parties, ballot measures, or religious organizations without Franchisor’s prior written approval.</w:t>
      </w:r>
    </w:p>
    <w:p>
      <w:pPr>
        <w:spacing w:before="60" w:after="80" w:line="269" w:lineRule="auto"/>
        <w:ind w:left="0" w:firstLine="0"/>
        <w:keepLines/>
      </w:pPr>
      <w:r>
        <w:rPr>
          <w:rFonts w:ascii="Aptos" w:hAnsi="Aptos" w:eastAsia="Aptos"/>
          <w:b/>
          <w:color w:val="0B1F44"/>
          <w:sz w:val="20"/>
        </w:rPr>
        <w:t xml:space="preserve">3.8 </w:t>
      </w:r>
      <w:r>
        <w:rPr>
          <w:rFonts w:ascii="Aptos" w:hAnsi="Aptos" w:eastAsia="Aptos"/>
          <w:b/>
          <w:color w:val="162239"/>
          <w:sz w:val="20"/>
        </w:rPr>
        <w:t xml:space="preserve">Paid Advertising; Influencers; Promotions. </w:t>
      </w:r>
      <w:r>
        <w:rPr>
          <w:rFonts w:ascii="Aptos" w:hAnsi="Aptos" w:eastAsia="Aptos"/>
          <w:color w:val="162239"/>
          <w:sz w:val="20"/>
        </w:rPr>
        <w:t>Before initiating any paid social-media campaign, influencer campaign, contest, sweepstakes, giveaway, paid review program, or materially new promotional representation, Franchisee shall obtain any approval required by the Manual and ensure the campaign complies with applicable advertising, consumer-protection, endorsement, platform, and sweepstakes laws. Franchisee may not promise results or use earnings claims, product-performance claims, or “limited time” representations unless approved and substantiated.</w:t>
      </w:r>
    </w:p>
    <w:p>
      <w:pPr>
        <w:spacing w:before="280" w:after="120" w:line="240" w:lineRule="auto"/>
        <w:pBdr>
          <w:bottom w:val="single" w:sz="10" w:space="6" w:color="C8902F"/>
        </w:pBdr>
        <w:keepNext/>
        <w:keepLines/>
        <w:keepLines/>
      </w:pPr>
      <w:r>
        <w:rPr>
          <w:rFonts w:ascii="Aptos" w:hAnsi="Aptos" w:eastAsia="Aptos"/>
          <w:b/>
          <w:color w:val="0B1F44"/>
          <w:sz w:val="24"/>
        </w:rPr>
        <w:t>4. COMPLAINTS, INCIDENT RESPONSE, AND CORRECTIVE ACTION</w:t>
      </w:r>
    </w:p>
    <w:p>
      <w:pPr>
        <w:spacing w:before="60" w:after="80" w:line="269" w:lineRule="auto"/>
        <w:ind w:left="0" w:firstLine="0"/>
        <w:keepLines/>
      </w:pPr>
      <w:r>
        <w:rPr>
          <w:rFonts w:ascii="Aptos" w:hAnsi="Aptos" w:eastAsia="Aptos"/>
          <w:b/>
          <w:color w:val="0B1F44"/>
          <w:sz w:val="20"/>
        </w:rPr>
        <w:t xml:space="preserve">4.1 </w:t>
      </w:r>
      <w:r>
        <w:rPr>
          <w:rFonts w:ascii="Aptos" w:hAnsi="Aptos" w:eastAsia="Aptos"/>
          <w:b/>
          <w:color w:val="162239"/>
          <w:sz w:val="20"/>
        </w:rPr>
        <w:t xml:space="preserve">Prompt Notice. </w:t>
      </w:r>
      <w:r>
        <w:rPr>
          <w:rFonts w:ascii="Aptos" w:hAnsi="Aptos" w:eastAsia="Aptos"/>
          <w:color w:val="162239"/>
          <w:sz w:val="20"/>
        </w:rPr>
        <w:t>Franchisee shall notify Franchisor promptly, and no later than the next business day when reasonably practicable, of: (a) a viral or widely distributed post materially involving the Marks or Franchised Business; (b) a credible threat, harassment allegation, data incident, or customer-safety issue; (c) a governmental, regulatory, platform, or media inquiry materially relating to the Franchised Business; or (d) a claim or incident reasonably likely to cause material harm to the Marks or System. Notice does not waive privilege or require disclosure of information protected by law.</w:t>
      </w:r>
    </w:p>
    <w:p>
      <w:pPr>
        <w:spacing w:before="60" w:after="80" w:line="269" w:lineRule="auto"/>
        <w:ind w:left="0" w:firstLine="0"/>
        <w:keepLines/>
      </w:pPr>
      <w:r>
        <w:rPr>
          <w:rFonts w:ascii="Aptos" w:hAnsi="Aptos" w:eastAsia="Aptos"/>
          <w:b/>
          <w:color w:val="0B1F44"/>
          <w:sz w:val="20"/>
        </w:rPr>
        <w:t xml:space="preserve">4.2 </w:t>
      </w:r>
      <w:r>
        <w:rPr>
          <w:rFonts w:ascii="Aptos" w:hAnsi="Aptos" w:eastAsia="Aptos"/>
          <w:b/>
          <w:color w:val="162239"/>
          <w:sz w:val="20"/>
        </w:rPr>
        <w:t xml:space="preserve">Customer Complaints and Reviews. </w:t>
      </w:r>
      <w:r>
        <w:rPr>
          <w:rFonts w:ascii="Aptos" w:hAnsi="Aptos" w:eastAsia="Aptos"/>
          <w:color w:val="162239"/>
          <w:sz w:val="20"/>
        </w:rPr>
        <w:t>Franchisee shall respond to customer complaints and reviews professionally, truthfully, and without retaliation. Franchisee may offer reasonable service recovery or invite the customer to an appropriate private resolution channel, but may not require a customer to remove a truthful review, threaten legal action without a good-faith basis, or post any response that discloses personal or order information without lawful authority.</w:t>
      </w:r>
    </w:p>
    <w:p>
      <w:pPr>
        <w:spacing w:before="60" w:after="80" w:line="269" w:lineRule="auto"/>
        <w:ind w:left="0" w:firstLine="0"/>
        <w:keepLines/>
      </w:pPr>
      <w:r>
        <w:rPr>
          <w:rFonts w:ascii="Aptos" w:hAnsi="Aptos" w:eastAsia="Aptos"/>
          <w:b/>
          <w:color w:val="0B1F44"/>
          <w:sz w:val="20"/>
        </w:rPr>
        <w:t xml:space="preserve">4.3 </w:t>
      </w:r>
      <w:r>
        <w:rPr>
          <w:rFonts w:ascii="Aptos" w:hAnsi="Aptos" w:eastAsia="Aptos"/>
          <w:b/>
          <w:color w:val="162239"/>
          <w:sz w:val="20"/>
        </w:rPr>
        <w:t xml:space="preserve">Franchisor Review. </w:t>
      </w:r>
      <w:r>
        <w:rPr>
          <w:rFonts w:ascii="Aptos" w:hAnsi="Aptos" w:eastAsia="Aptos"/>
          <w:color w:val="162239"/>
          <w:sz w:val="20"/>
        </w:rPr>
        <w:t>When Franchisor reasonably believes a potential violation has occurred, Franchisor may request relevant public posts, official-account content, campaign materials, customer communications, or account-inventory information. Franchisor shall identify the concern with reasonable specificity and, except where urgent risk requires immediate action, give Franchisee a reasonable opportunity to explain, correct, remove, clarify, or cure the matter.</w:t>
      </w:r>
    </w:p>
    <w:p>
      <w:pPr>
        <w:spacing w:before="60" w:after="80" w:line="269" w:lineRule="auto"/>
        <w:ind w:left="0" w:firstLine="0"/>
        <w:keepLines/>
      </w:pPr>
      <w:r>
        <w:rPr>
          <w:rFonts w:ascii="Aptos" w:hAnsi="Aptos" w:eastAsia="Aptos"/>
          <w:b/>
          <w:color w:val="0B1F44"/>
          <w:sz w:val="20"/>
        </w:rPr>
        <w:t xml:space="preserve">4.4 </w:t>
      </w:r>
      <w:r>
        <w:rPr>
          <w:rFonts w:ascii="Aptos" w:hAnsi="Aptos" w:eastAsia="Aptos"/>
          <w:b/>
          <w:color w:val="162239"/>
          <w:sz w:val="20"/>
        </w:rPr>
        <w:t xml:space="preserve">Time to Cure. </w:t>
      </w:r>
      <w:r>
        <w:rPr>
          <w:rFonts w:ascii="Aptos" w:hAnsi="Aptos" w:eastAsia="Aptos"/>
          <w:color w:val="162239"/>
          <w:sz w:val="20"/>
        </w:rPr>
        <w:t>Unless the conduct presents an urgent risk or cannot reasonably be cured, Franchisee shall cure a written-notice violation within five (5) business days or within another reasonable period stated in the notice. A correction may include removing or revising content, publishing a clarification, providing a customer remedy, completing training, changing access controls, or taking another proportionate corrective step.</w:t>
      </w:r>
    </w:p>
    <w:p>
      <w:pPr>
        <w:spacing w:before="60" w:after="80" w:line="269" w:lineRule="auto"/>
        <w:ind w:left="0" w:firstLine="0"/>
        <w:keepLines/>
      </w:pPr>
      <w:r>
        <w:rPr>
          <w:rFonts w:ascii="Aptos" w:hAnsi="Aptos" w:eastAsia="Aptos"/>
          <w:b/>
          <w:color w:val="0B1F44"/>
          <w:sz w:val="20"/>
        </w:rPr>
        <w:t xml:space="preserve">4.5 </w:t>
      </w:r>
      <w:r>
        <w:rPr>
          <w:rFonts w:ascii="Aptos" w:hAnsi="Aptos" w:eastAsia="Aptos"/>
          <w:b/>
          <w:color w:val="162239"/>
          <w:sz w:val="20"/>
        </w:rPr>
        <w:t xml:space="preserve">Immediate Protective Measures. </w:t>
      </w:r>
      <w:r>
        <w:rPr>
          <w:rFonts w:ascii="Aptos" w:hAnsi="Aptos" w:eastAsia="Aptos"/>
          <w:color w:val="162239"/>
          <w:sz w:val="20"/>
        </w:rPr>
        <w:t>If Franchisor reasonably determines that a post or conduct creates an immediate risk of significant consumer harm, unlawful disclosure, customer-safety risk, infringement, misuse of the Marks, or serious reputational injury, Franchisor may require prompt removal, temporarily suspend use of an Official Business Account, pause a campaign, or suspend the affected activity. These interim measures must be reasonably tailored to the risk and do not waive Franchisee’s right to contest a claimed breach under the Agreement.</w:t>
      </w:r>
    </w:p>
    <w:p>
      <w:pPr>
        <w:spacing w:before="280" w:after="120" w:line="240" w:lineRule="auto"/>
        <w:pBdr>
          <w:bottom w:val="single" w:sz="10" w:space="6" w:color="C8902F"/>
        </w:pBdr>
        <w:keepNext/>
        <w:keepLines/>
        <w:keepLines/>
      </w:pPr>
      <w:r>
        <w:rPr>
          <w:rFonts w:ascii="Aptos" w:hAnsi="Aptos" w:eastAsia="Aptos"/>
          <w:b/>
          <w:color w:val="0B1F44"/>
          <w:sz w:val="24"/>
        </w:rPr>
        <w:t>5. REMEDIES; NO NEW TERMINATION RIGHTS OUTSIDE THE AGREEMENT</w:t>
      </w:r>
    </w:p>
    <w:p>
      <w:pPr>
        <w:spacing w:before="60" w:after="80" w:line="269" w:lineRule="auto"/>
        <w:ind w:left="0" w:firstLine="0"/>
        <w:keepLines/>
      </w:pPr>
      <w:r>
        <w:rPr>
          <w:rFonts w:ascii="Aptos" w:hAnsi="Aptos" w:eastAsia="Aptos"/>
          <w:b/>
          <w:color w:val="0B1F44"/>
          <w:sz w:val="20"/>
        </w:rPr>
        <w:t xml:space="preserve">5.1 </w:t>
      </w:r>
      <w:r>
        <w:rPr>
          <w:rFonts w:ascii="Aptos" w:hAnsi="Aptos" w:eastAsia="Aptos"/>
          <w:b/>
          <w:color w:val="162239"/>
          <w:sz w:val="20"/>
        </w:rPr>
        <w:t xml:space="preserve">Material Default. </w:t>
      </w:r>
      <w:r>
        <w:rPr>
          <w:rFonts w:ascii="Aptos" w:hAnsi="Aptos" w:eastAsia="Aptos"/>
          <w:color w:val="162239"/>
          <w:sz w:val="20"/>
        </w:rPr>
        <w:t>A willful, repeated, uncured, or materially harmful breach of this Addendum may constitute a material default under the Agreement, subject to the applicable notice, cure, suspension, termination, dispute-resolution, and governing-law provisions of the Agreement.</w:t>
      </w:r>
    </w:p>
    <w:p>
      <w:pPr>
        <w:spacing w:before="60" w:after="80" w:line="269" w:lineRule="auto"/>
        <w:ind w:left="0" w:firstLine="0"/>
        <w:keepLines/>
      </w:pPr>
      <w:r>
        <w:rPr>
          <w:rFonts w:ascii="Aptos" w:hAnsi="Aptos" w:eastAsia="Aptos"/>
          <w:b/>
          <w:color w:val="0B1F44"/>
          <w:sz w:val="20"/>
        </w:rPr>
        <w:t xml:space="preserve">5.2 </w:t>
      </w:r>
      <w:r>
        <w:rPr>
          <w:rFonts w:ascii="Aptos" w:hAnsi="Aptos" w:eastAsia="Aptos"/>
          <w:b/>
          <w:color w:val="162239"/>
          <w:sz w:val="20"/>
        </w:rPr>
        <w:t xml:space="preserve">Proportionate Remedies. </w:t>
      </w:r>
      <w:r>
        <w:rPr>
          <w:rFonts w:ascii="Aptos" w:hAnsi="Aptos" w:eastAsia="Aptos"/>
          <w:color w:val="162239"/>
          <w:sz w:val="20"/>
        </w:rPr>
        <w:t>In determining a remedy, Franchisor shall consider the seriousness of the conduct, intent, actual or reasonably likely harm, whether the conduct was public or official-brand conduct, the availability of cure, Franchisee’s cooperation, and prior similar violations. The preferred remedy is a proportionate corrective measure rather than termination when correction adequately protects customers and the System.</w:t>
      </w:r>
    </w:p>
    <w:p>
      <w:pPr>
        <w:spacing w:before="60" w:after="80" w:line="269" w:lineRule="auto"/>
        <w:ind w:left="0" w:firstLine="0"/>
        <w:keepLines/>
      </w:pPr>
      <w:r>
        <w:rPr>
          <w:rFonts w:ascii="Aptos" w:hAnsi="Aptos" w:eastAsia="Aptos"/>
          <w:b/>
          <w:color w:val="0B1F44"/>
          <w:sz w:val="20"/>
        </w:rPr>
        <w:t xml:space="preserve">5.3 </w:t>
      </w:r>
      <w:r>
        <w:rPr>
          <w:rFonts w:ascii="Aptos" w:hAnsi="Aptos" w:eastAsia="Aptos"/>
          <w:b/>
          <w:color w:val="162239"/>
          <w:sz w:val="20"/>
        </w:rPr>
        <w:t xml:space="preserve">No Waiver of Legal Rights. </w:t>
      </w:r>
      <w:r>
        <w:rPr>
          <w:rFonts w:ascii="Aptos" w:hAnsi="Aptos" w:eastAsia="Aptos"/>
          <w:color w:val="162239"/>
          <w:sz w:val="20"/>
        </w:rPr>
        <w:t>Nothing in this Addendum waives, limits, or discourages Franchisee from exercising nonwaivable rights under applicable law, including the right to make a good-faith report to a governmental agency, provide truthful testimony, file a charge or complaint, participate in an investigation, or seek legal advice.</w:t>
      </w:r>
    </w:p>
    <w:p>
      <w:pPr>
        <w:spacing w:before="280" w:after="120" w:line="240" w:lineRule="auto"/>
        <w:pBdr>
          <w:bottom w:val="single" w:sz="10" w:space="6" w:color="C8902F"/>
        </w:pBdr>
        <w:keepNext/>
        <w:keepLines/>
        <w:keepLines/>
      </w:pPr>
      <w:r>
        <w:rPr>
          <w:rFonts w:ascii="Aptos" w:hAnsi="Aptos" w:eastAsia="Aptos"/>
          <w:b/>
          <w:color w:val="0B1F44"/>
          <w:sz w:val="24"/>
        </w:rPr>
        <w:t>6. RECORDS, TRAINING, AND POLICY UPDATES</w:t>
      </w:r>
    </w:p>
    <w:p>
      <w:pPr>
        <w:spacing w:before="60" w:after="80" w:line="269" w:lineRule="auto"/>
        <w:ind w:left="0" w:firstLine="0"/>
        <w:keepLines/>
      </w:pPr>
      <w:r>
        <w:rPr>
          <w:rFonts w:ascii="Aptos" w:hAnsi="Aptos" w:eastAsia="Aptos"/>
          <w:b/>
          <w:color w:val="0B1F44"/>
          <w:sz w:val="20"/>
        </w:rPr>
        <w:t xml:space="preserve">6.1 </w:t>
      </w:r>
      <w:r>
        <w:rPr>
          <w:rFonts w:ascii="Aptos" w:hAnsi="Aptos" w:eastAsia="Aptos"/>
          <w:b/>
          <w:color w:val="162239"/>
          <w:sz w:val="20"/>
        </w:rPr>
        <w:t xml:space="preserve">Training. </w:t>
      </w:r>
      <w:r>
        <w:rPr>
          <w:rFonts w:ascii="Aptos" w:hAnsi="Aptos" w:eastAsia="Aptos"/>
          <w:color w:val="162239"/>
          <w:sz w:val="20"/>
        </w:rPr>
        <w:t>Franchisee shall complete reasonably required training on brand communications, data privacy, digital security, customer response, advertising claims, social-media management, and any Reserved Medical Information Products boundaries that apply to the Franchised Business.</w:t>
      </w:r>
    </w:p>
    <w:p>
      <w:pPr>
        <w:spacing w:before="60" w:after="80" w:line="269" w:lineRule="auto"/>
        <w:ind w:left="0" w:firstLine="0"/>
        <w:keepLines/>
      </w:pPr>
      <w:r>
        <w:rPr>
          <w:rFonts w:ascii="Aptos" w:hAnsi="Aptos" w:eastAsia="Aptos"/>
          <w:b/>
          <w:color w:val="0B1F44"/>
          <w:sz w:val="20"/>
        </w:rPr>
        <w:t xml:space="preserve">6.2 </w:t>
      </w:r>
      <w:r>
        <w:rPr>
          <w:rFonts w:ascii="Aptos" w:hAnsi="Aptos" w:eastAsia="Aptos"/>
          <w:b/>
          <w:color w:val="162239"/>
          <w:sz w:val="20"/>
        </w:rPr>
        <w:t xml:space="preserve">Records. </w:t>
      </w:r>
      <w:r>
        <w:rPr>
          <w:rFonts w:ascii="Aptos" w:hAnsi="Aptos" w:eastAsia="Aptos"/>
          <w:color w:val="162239"/>
          <w:sz w:val="20"/>
        </w:rPr>
        <w:t>Franchisee shall maintain, in a reasonably accessible form, an inventory of Official Business Accounts, paid-ad campaigns, influencers or agencies used, material content approvals, and customer-consent records to the extent required by applicable law or the Manual. Franchisee need not maintain or provide passwords through this Addendum; secure administrator-access methods and account-recovery controls shall be used instead.</w:t>
      </w:r>
    </w:p>
    <w:p>
      <w:pPr>
        <w:spacing w:before="60" w:after="80" w:line="269" w:lineRule="auto"/>
        <w:ind w:left="0" w:firstLine="0"/>
        <w:keepLines/>
      </w:pPr>
      <w:r>
        <w:rPr>
          <w:rFonts w:ascii="Aptos" w:hAnsi="Aptos" w:eastAsia="Aptos"/>
          <w:b/>
          <w:color w:val="0B1F44"/>
          <w:sz w:val="20"/>
        </w:rPr>
        <w:t xml:space="preserve">6.3 </w:t>
      </w:r>
      <w:r>
        <w:rPr>
          <w:rFonts w:ascii="Aptos" w:hAnsi="Aptos" w:eastAsia="Aptos"/>
          <w:b/>
          <w:color w:val="162239"/>
          <w:sz w:val="20"/>
        </w:rPr>
        <w:t xml:space="preserve">Future Policy Updates. </w:t>
      </w:r>
      <w:r>
        <w:rPr>
          <w:rFonts w:ascii="Aptos" w:hAnsi="Aptos" w:eastAsia="Aptos"/>
          <w:color w:val="162239"/>
          <w:sz w:val="20"/>
        </w:rPr>
        <w:t>Franchisor may issue reasonable written updates to brand examples, approved account descriptions, technical security standards, platform requirements, and training materials when those updates are uniformly applied, lawful, and consistent with the Agreement. A future update may not materially expand Franchisee’s financial obligations, territory limitations, termination rights, or core business restrictions unless separately agreed in writing and disclosed as required by applicable law.</w:t>
      </w:r>
    </w:p>
    <w:p>
      <w:pPr>
        <w:spacing w:before="280" w:after="120" w:line="240" w:lineRule="auto"/>
        <w:pBdr>
          <w:bottom w:val="single" w:sz="10" w:space="6" w:color="C8902F"/>
        </w:pBdr>
        <w:keepNext/>
        <w:keepLines/>
        <w:keepLines/>
      </w:pPr>
      <w:r>
        <w:rPr>
          <w:rFonts w:ascii="Aptos" w:hAnsi="Aptos" w:eastAsia="Aptos"/>
          <w:b/>
          <w:color w:val="0B1F44"/>
          <w:sz w:val="24"/>
        </w:rPr>
        <w:t>7. GENERAL PROVISIONS</w:t>
      </w:r>
    </w:p>
    <w:p>
      <w:pPr>
        <w:spacing w:before="60" w:after="80" w:line="269" w:lineRule="auto"/>
        <w:ind w:left="0" w:firstLine="0"/>
        <w:keepLines/>
      </w:pPr>
      <w:r>
        <w:rPr>
          <w:rFonts w:ascii="Aptos" w:hAnsi="Aptos" w:eastAsia="Aptos"/>
          <w:b/>
          <w:color w:val="0B1F44"/>
          <w:sz w:val="20"/>
        </w:rPr>
        <w:t xml:space="preserve">7.1 </w:t>
      </w:r>
      <w:r>
        <w:rPr>
          <w:rFonts w:ascii="Aptos" w:hAnsi="Aptos" w:eastAsia="Aptos"/>
          <w:b/>
          <w:color w:val="162239"/>
          <w:sz w:val="20"/>
        </w:rPr>
        <w:t xml:space="preserve">Governing Law and Venue. </w:t>
      </w:r>
      <w:r>
        <w:rPr>
          <w:rFonts w:ascii="Aptos" w:hAnsi="Aptos" w:eastAsia="Aptos"/>
          <w:color w:val="162239"/>
          <w:sz w:val="20"/>
        </w:rPr>
        <w:t>This Addendum is governed by the laws designated in the Agreement, which the parties understand to be the laws of the Commonwealth of Virginia, without regard to conflict-of-law principles except to the extent applicable law requires otherwise. The Agreement’s dispute-resolution and venue provisions apply to this Addendum.</w:t>
      </w:r>
    </w:p>
    <w:p>
      <w:pPr>
        <w:spacing w:before="60" w:after="80" w:line="269" w:lineRule="auto"/>
        <w:ind w:left="0" w:firstLine="0"/>
        <w:keepLines/>
      </w:pPr>
      <w:r>
        <w:rPr>
          <w:rFonts w:ascii="Aptos" w:hAnsi="Aptos" w:eastAsia="Aptos"/>
          <w:b/>
          <w:color w:val="0B1F44"/>
          <w:sz w:val="20"/>
        </w:rPr>
        <w:t xml:space="preserve">7.2 </w:t>
      </w:r>
      <w:r>
        <w:rPr>
          <w:rFonts w:ascii="Aptos" w:hAnsi="Aptos" w:eastAsia="Aptos"/>
          <w:b/>
          <w:color w:val="162239"/>
          <w:sz w:val="20"/>
        </w:rPr>
        <w:t xml:space="preserve">Severability and Reformation. </w:t>
      </w:r>
      <w:r>
        <w:rPr>
          <w:rFonts w:ascii="Aptos" w:hAnsi="Aptos" w:eastAsia="Aptos"/>
          <w:color w:val="162239"/>
          <w:sz w:val="20"/>
        </w:rPr>
        <w:t>If any provision is held invalid or unenforceable, it shall be enforced to the maximum extent permitted by law, and the remainder of this Addendum shall remain in effect. No provision shall be interpreted to require an unlawful restraint of speech, discrimination, retaliation, waiver of nonwaivable rights, or violation of applicable franchise law.</w:t>
      </w:r>
    </w:p>
    <w:p>
      <w:pPr>
        <w:spacing w:before="60" w:after="80" w:line="269" w:lineRule="auto"/>
        <w:ind w:left="0" w:firstLine="0"/>
        <w:keepLines/>
      </w:pPr>
      <w:r>
        <w:rPr>
          <w:rFonts w:ascii="Aptos" w:hAnsi="Aptos" w:eastAsia="Aptos"/>
          <w:b/>
          <w:color w:val="0B1F44"/>
          <w:sz w:val="20"/>
        </w:rPr>
        <w:t xml:space="preserve">7.3 </w:t>
      </w:r>
      <w:r>
        <w:rPr>
          <w:rFonts w:ascii="Aptos" w:hAnsi="Aptos" w:eastAsia="Aptos"/>
          <w:b/>
          <w:color w:val="162239"/>
          <w:sz w:val="20"/>
        </w:rPr>
        <w:t xml:space="preserve">Entire Addendum; Counterparts; Electronic Signatures. </w:t>
      </w:r>
      <w:r>
        <w:rPr>
          <w:rFonts w:ascii="Aptos" w:hAnsi="Aptos" w:eastAsia="Aptos"/>
          <w:color w:val="162239"/>
          <w:sz w:val="20"/>
        </w:rPr>
        <w:t>This Addendum states the parties’ complete agreement concerning its subject matter and may be executed in counterparts and by electronic signature to the extent permitted by applicable law. No amendment is effective unless in writing and signed by both parties, except for lawful Manual updates permitted by Section 6.3.</w:t>
      </w:r>
    </w:p>
    <w:p>
      <w:pPr>
        <w:spacing w:before="280" w:after="120" w:line="240" w:lineRule="auto"/>
        <w:pBdr>
          <w:bottom w:val="single" w:sz="10" w:space="6" w:color="C8902F"/>
        </w:pBdr>
        <w:keepNext/>
        <w:keepLines/>
        <w:keepLines/>
      </w:pPr>
      <w:r>
        <w:rPr>
          <w:rFonts w:ascii="Aptos" w:hAnsi="Aptos" w:eastAsia="Aptos"/>
          <w:b/>
          <w:color w:val="0B1F44"/>
          <w:sz w:val="24"/>
        </w:rPr>
        <w:t>EXHIBIT A - OFFICIAL BUSINESS ACCOUNT INVENTORY</w:t>
      </w:r>
    </w:p>
    <w:p>
      <w:pPr>
        <w:spacing w:after="120" w:line="269" w:lineRule="auto"/>
        <w:keepLines/>
      </w:pPr>
      <w:r>
        <w:rPr>
          <w:rFonts w:ascii="Aptos" w:hAnsi="Aptos" w:eastAsia="Aptos"/>
          <w:color w:val="162239"/>
          <w:sz w:val="21"/>
        </w:rPr>
        <w:t>Complete this Exhibit at execution and update it within five (5) business days after creating, retiring, transferring, or materially changing any Official Business Account.</w:t>
      </w:r>
    </w:p>
    <w:tbl>
      <w:tblPr>
        <w:tblW w:type="auto" w:w="0"/>
        <w:jc w:val="center"/>
        <w:tblLayout w:type="fixed"/>
        <w:tblLook w:firstColumn="1" w:firstRow="1" w:lastColumn="0" w:lastRow="0" w:noHBand="0" w:noVBand="1" w:val="04A0"/>
      </w:tblPr>
      <w:tblGrid>
        <w:gridCol w:w="1440"/>
        <w:gridCol w:w="2016"/>
        <w:gridCol w:w="1872"/>
        <w:gridCol w:w="1584"/>
        <w:gridCol w:w="1613"/>
        <w:gridCol w:w="1642"/>
      </w:tblGrid>
      <w:tr>
        <w:trPr>
          <w:tblHeader w:val="true"/>
        </w:trPr>
        <w:tc>
          <w:tcPr>
            <w:tcW w:type="dxa" w:w="1694"/>
            <w:shd w:fill="0B1F44"/>
            <w:vAlign w:val="center"/>
            <w:tcBorders>
              <w:top w:val="single" w:sz="6" w:color="AAB4C3"/>
              <w:left w:val="single" w:sz="6" w:color="AAB4C3"/>
              <w:bottom w:val="single" w:sz="6" w:color="AAB4C3"/>
              <w:right w:val="single" w:sz="6" w:color="AAB4C3"/>
            </w:tcBorders>
          </w:tcPr>
          <w:p>
            <w:pPr>
              <w:spacing w:after="40" w:before="40"/>
              <w:jc w:val="center"/>
            </w:pPr>
            <w:r>
              <w:rPr>
                <w:rFonts w:ascii="Aptos" w:hAnsi="Aptos" w:eastAsia="Aptos"/>
                <w:b/>
                <w:color w:val="FFFFFF"/>
                <w:sz w:val="14"/>
              </w:rPr>
              <w:t>Platform</w:t>
            </w:r>
          </w:p>
        </w:tc>
        <w:tc>
          <w:tcPr>
            <w:tcW w:type="dxa" w:w="1694"/>
            <w:shd w:fill="0B1F44"/>
            <w:vAlign w:val="center"/>
            <w:tcBorders>
              <w:top w:val="single" w:sz="6" w:color="AAB4C3"/>
              <w:left w:val="single" w:sz="6" w:color="AAB4C3"/>
              <w:bottom w:val="single" w:sz="6" w:color="AAB4C3"/>
              <w:right w:val="single" w:sz="6" w:color="AAB4C3"/>
            </w:tcBorders>
          </w:tcPr>
          <w:p>
            <w:pPr>
              <w:spacing w:after="40" w:before="40"/>
              <w:jc w:val="center"/>
            </w:pPr>
            <w:r>
              <w:rPr>
                <w:rFonts w:ascii="Aptos" w:hAnsi="Aptos" w:eastAsia="Aptos"/>
                <w:b/>
                <w:color w:val="FFFFFF"/>
                <w:sz w:val="14"/>
              </w:rPr>
              <w:t>Account / Page Name</w:t>
            </w:r>
          </w:p>
        </w:tc>
        <w:tc>
          <w:tcPr>
            <w:tcW w:type="dxa" w:w="1694"/>
            <w:shd w:fill="0B1F44"/>
            <w:vAlign w:val="center"/>
            <w:tcBorders>
              <w:top w:val="single" w:sz="6" w:color="AAB4C3"/>
              <w:left w:val="single" w:sz="6" w:color="AAB4C3"/>
              <w:bottom w:val="single" w:sz="6" w:color="AAB4C3"/>
              <w:right w:val="single" w:sz="6" w:color="AAB4C3"/>
            </w:tcBorders>
          </w:tcPr>
          <w:p>
            <w:pPr>
              <w:spacing w:after="40" w:before="40"/>
              <w:jc w:val="center"/>
            </w:pPr>
            <w:r>
              <w:rPr>
                <w:rFonts w:ascii="Aptos" w:hAnsi="Aptos" w:eastAsia="Aptos"/>
                <w:b/>
                <w:color w:val="FFFFFF"/>
                <w:sz w:val="14"/>
              </w:rPr>
              <w:t>Handle / URL</w:t>
            </w:r>
          </w:p>
        </w:tc>
        <w:tc>
          <w:tcPr>
            <w:tcW w:type="dxa" w:w="1694"/>
            <w:shd w:fill="0B1F44"/>
            <w:vAlign w:val="center"/>
            <w:tcBorders>
              <w:top w:val="single" w:sz="6" w:color="AAB4C3"/>
              <w:left w:val="single" w:sz="6" w:color="AAB4C3"/>
              <w:bottom w:val="single" w:sz="6" w:color="AAB4C3"/>
              <w:right w:val="single" w:sz="6" w:color="AAB4C3"/>
            </w:tcBorders>
          </w:tcPr>
          <w:p>
            <w:pPr>
              <w:spacing w:after="40" w:before="40"/>
              <w:jc w:val="center"/>
            </w:pPr>
            <w:r>
              <w:rPr>
                <w:rFonts w:ascii="Aptos" w:hAnsi="Aptos" w:eastAsia="Aptos"/>
                <w:b/>
                <w:color w:val="FFFFFF"/>
                <w:sz w:val="14"/>
              </w:rPr>
              <w:t>Primary Admin / Recovery Contact</w:t>
            </w:r>
          </w:p>
        </w:tc>
        <w:tc>
          <w:tcPr>
            <w:tcW w:type="dxa" w:w="1694"/>
            <w:shd w:fill="0B1F44"/>
            <w:vAlign w:val="center"/>
            <w:tcBorders>
              <w:top w:val="single" w:sz="6" w:color="AAB4C3"/>
              <w:left w:val="single" w:sz="6" w:color="AAB4C3"/>
              <w:bottom w:val="single" w:sz="6" w:color="AAB4C3"/>
              <w:right w:val="single" w:sz="6" w:color="AAB4C3"/>
            </w:tcBorders>
          </w:tcPr>
          <w:p>
            <w:pPr>
              <w:spacing w:after="40" w:before="40"/>
              <w:jc w:val="center"/>
            </w:pPr>
            <w:r>
              <w:rPr>
                <w:rFonts w:ascii="Aptos" w:hAnsi="Aptos" w:eastAsia="Aptos"/>
                <w:b/>
                <w:color w:val="FFFFFF"/>
                <w:sz w:val="14"/>
              </w:rPr>
              <w:t>Second Authorized Admin</w:t>
            </w:r>
          </w:p>
        </w:tc>
        <w:tc>
          <w:tcPr>
            <w:tcW w:type="dxa" w:w="1694"/>
            <w:shd w:fill="0B1F44"/>
            <w:vAlign w:val="center"/>
            <w:tcBorders>
              <w:top w:val="single" w:sz="6" w:color="AAB4C3"/>
              <w:left w:val="single" w:sz="6" w:color="AAB4C3"/>
              <w:bottom w:val="single" w:sz="6" w:color="AAB4C3"/>
              <w:right w:val="single" w:sz="6" w:color="AAB4C3"/>
            </w:tcBorders>
          </w:tcPr>
          <w:p>
            <w:pPr>
              <w:spacing w:after="40" w:before="40"/>
              <w:jc w:val="center"/>
            </w:pPr>
            <w:r>
              <w:rPr>
                <w:rFonts w:ascii="Aptos" w:hAnsi="Aptos" w:eastAsia="Aptos"/>
                <w:b/>
                <w:color w:val="FFFFFF"/>
                <w:sz w:val="14"/>
              </w:rPr>
              <w:t>Franchisor Approval Date</w:t>
            </w:r>
          </w:p>
        </w:tc>
      </w:tr>
      <w:tr>
        <w:trPr>
          <w:cantSplit/>
          <w:trHeight w:val="518"/>
        </w:trPr>
        <w:tc>
          <w:tcPr>
            <w:tcW w:type="dxa" w:w="1440"/>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2016"/>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872"/>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584"/>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613"/>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642"/>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r>
      <w:tr>
        <w:trPr>
          <w:cantSplit/>
          <w:trHeight w:val="518"/>
        </w:trPr>
        <w:tc>
          <w:tcPr>
            <w:tcW w:type="dxa" w:w="1440"/>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2016"/>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872"/>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584"/>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613"/>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642"/>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r>
      <w:tr>
        <w:trPr>
          <w:cantSplit/>
          <w:trHeight w:val="518"/>
        </w:trPr>
        <w:tc>
          <w:tcPr>
            <w:tcW w:type="dxa" w:w="1440"/>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2016"/>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872"/>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584"/>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613"/>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642"/>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r>
      <w:tr>
        <w:trPr>
          <w:cantSplit/>
          <w:trHeight w:val="518"/>
        </w:trPr>
        <w:tc>
          <w:tcPr>
            <w:tcW w:type="dxa" w:w="1440"/>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2016"/>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872"/>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584"/>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613"/>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642"/>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r>
      <w:tr>
        <w:trPr>
          <w:cantSplit/>
          <w:trHeight w:val="518"/>
        </w:trPr>
        <w:tc>
          <w:tcPr>
            <w:tcW w:type="dxa" w:w="1440"/>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2016"/>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872"/>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584"/>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613"/>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642"/>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r>
      <w:tr>
        <w:trPr>
          <w:cantSplit/>
          <w:trHeight w:val="518"/>
        </w:trPr>
        <w:tc>
          <w:tcPr>
            <w:tcW w:type="dxa" w:w="1440"/>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2016"/>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872"/>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584"/>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613"/>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c>
          <w:tcPr>
            <w:tcW w:type="dxa" w:w="1642"/>
            <w:tcBorders>
              <w:top w:val="single" w:sz="6" w:color="AAB4C3"/>
              <w:left w:val="single" w:sz="6" w:color="AAB4C3"/>
              <w:bottom w:val="single" w:sz="6" w:color="AAB4C3"/>
              <w:right w:val="single" w:sz="6" w:color="AAB4C3"/>
            </w:tcBorders>
          </w:tcPr>
          <w:p>
            <w:pPr>
              <w:spacing w:after="0" w:before="0"/>
            </w:pPr>
            <w:r>
              <w:rPr>
                <w:rFonts w:ascii="Aptos" w:hAnsi="Aptos" w:eastAsia="Aptos"/>
                <w:color w:val="162239"/>
                <w:sz w:val="17"/>
              </w:rPr>
            </w:r>
          </w:p>
        </w:tc>
      </w:tr>
    </w:tbl>
    <w:p>
      <w:pPr>
        <w:spacing w:before="140" w:after="40" w:line="269" w:lineRule="auto"/>
        <w:keepLines/>
      </w:pPr>
      <w:r>
        <w:rPr>
          <w:rFonts w:ascii="Aptos" w:hAnsi="Aptos" w:eastAsia="Aptos"/>
          <w:i/>
          <w:color w:val="5E6B80"/>
          <w:sz w:val="17"/>
        </w:rPr>
        <w:t>Account security note: Do not write or transmit passwords in this Exhibit. Franchisee shall use secure, approved methods to maintain account recovery, two-factor authentication, and authorized administrative access.</w:t>
      </w:r>
    </w:p>
    <w:p>
      <w:pPr>
        <w:spacing w:before="280" w:after="120" w:line="240" w:lineRule="auto"/>
        <w:pBdr>
          <w:bottom w:val="single" w:sz="10" w:space="6" w:color="C8902F"/>
        </w:pBdr>
        <w:keepNext/>
        <w:keepLines/>
        <w:keepLines/>
      </w:pPr>
      <w:r>
        <w:rPr>
          <w:rFonts w:ascii="Aptos" w:hAnsi="Aptos" w:eastAsia="Aptos"/>
          <w:b/>
          <w:color w:val="0B1F44"/>
          <w:sz w:val="24"/>
        </w:rPr>
        <w:t>ACKNOWLEDGMENT AND EXECUTION</w:t>
      </w:r>
    </w:p>
    <w:tbl>
      <w:tblPr>
        <w:tblW w:type="auto" w:w="0"/>
        <w:jc w:val="center"/>
        <w:tblLayout w:type="fixed"/>
        <w:tblLook w:firstColumn="1" w:firstRow="1" w:lastColumn="0" w:lastRow="0" w:noHBand="0" w:noVBand="1" w:val="04A0"/>
      </w:tblPr>
      <w:tblGrid>
        <w:gridCol w:w="8568"/>
        <w:gridCol w:w="1454"/>
      </w:tblGrid>
      <w:tr>
        <w:trPr>
          <w:cantSplit/>
        </w:trPr>
        <w:tc>
          <w:tcPr>
            <w:tcW w:type="dxa" w:w="5083"/>
            <w:vAlign w:val="center"/>
            <w:shd w:fill="0B1F44"/>
            <w:tcBorders>
              <w:top w:val="single" w:sz="6" w:color="AAB4C3"/>
              <w:left w:val="single" w:sz="6" w:color="AAB4C3"/>
              <w:bottom w:val="single" w:sz="6" w:color="AAB4C3"/>
              <w:right w:val="single" w:sz="6" w:color="AAB4C3"/>
            </w:tcBorders>
          </w:tcPr>
          <w:p>
            <w:pPr>
              <w:spacing w:before="60" w:after="60"/>
            </w:pPr>
            <w:r>
              <w:rPr>
                <w:rFonts w:ascii="Aptos" w:hAnsi="Aptos" w:eastAsia="Aptos"/>
                <w:b/>
                <w:color w:val="FFFFFF"/>
                <w:sz w:val="19"/>
              </w:rPr>
              <w:t>FRANCHISEE ACKNOWLEDGMENTS</w:t>
            </w:r>
          </w:p>
        </w:tc>
        <w:tc>
          <w:tcPr>
            <w:tcW w:type="dxa" w:w="5083"/>
            <w:vAlign w:val="center"/>
            <w:shd w:fill="0B1F44"/>
            <w:tcBorders>
              <w:top w:val="single" w:sz="6" w:color="AAB4C3"/>
              <w:left w:val="single" w:sz="6" w:color="AAB4C3"/>
              <w:bottom w:val="single" w:sz="6" w:color="AAB4C3"/>
              <w:right w:val="single" w:sz="6" w:color="AAB4C3"/>
            </w:tcBorders>
          </w:tcPr>
          <w:p>
            <w:pPr>
              <w:spacing w:before="60" w:after="60"/>
            </w:pPr>
            <w:r>
              <w:rPr>
                <w:rFonts w:ascii="Aptos" w:hAnsi="Aptos" w:eastAsia="Aptos"/>
                <w:color w:val="FFFFFF"/>
                <w:sz w:val="19"/>
              </w:rPr>
            </w:r>
          </w:p>
        </w:tc>
      </w:tr>
      <w:tr>
        <w:trPr>
          <w:cantSplit/>
        </w:trPr>
        <w:tc>
          <w:tcPr>
            <w:tcW w:type="dxa" w:w="5083"/>
            <w:vAlign w:val="center"/>
            <w:tcBorders>
              <w:top w:val="single" w:sz="6" w:color="AAB4C3"/>
              <w:left w:val="single" w:sz="6" w:color="AAB4C3"/>
              <w:bottom w:val="single" w:sz="6" w:color="AAB4C3"/>
              <w:right w:val="single" w:sz="6" w:color="AAB4C3"/>
            </w:tcBorders>
          </w:tcPr>
          <w:p>
            <w:pPr>
              <w:spacing w:before="60" w:after="60"/>
            </w:pPr>
            <w:r>
              <w:rPr>
                <w:rFonts w:ascii="Aptos" w:hAnsi="Aptos" w:eastAsia="Aptos"/>
                <w:color w:val="162239"/>
                <w:sz w:val="17"/>
              </w:rPr>
              <w:t>I acknowledge that this Addendum does not restrict good-faith complaints, legal claims, testimony, protected activity, or my lawful personal speech when it does not purport to speak for or use the Marks or System.</w:t>
            </w:r>
          </w:p>
        </w:tc>
        <w:tc>
          <w:tcPr>
            <w:tcW w:type="dxa" w:w="5083"/>
            <w:vAlign w:val="center"/>
            <w:tcBorders>
              <w:top w:val="single" w:sz="6" w:color="AAB4C3"/>
              <w:left w:val="single" w:sz="6" w:color="AAB4C3"/>
              <w:bottom w:val="single" w:sz="6" w:color="AAB4C3"/>
              <w:right w:val="single" w:sz="6" w:color="AAB4C3"/>
            </w:tcBorders>
          </w:tcPr>
          <w:p>
            <w:pPr>
              <w:spacing w:before="60" w:after="60"/>
              <w:jc w:val="center"/>
            </w:pPr>
            <w:r>
              <w:rPr>
                <w:rFonts w:ascii="Aptos" w:hAnsi="Aptos" w:eastAsia="Aptos"/>
                <w:b/>
                <w:color w:val="0B1F44"/>
                <w:sz w:val="17"/>
              </w:rPr>
              <w:t>Initials: ______</w:t>
            </w:r>
          </w:p>
        </w:tc>
      </w:tr>
      <w:tr>
        <w:trPr>
          <w:cantSplit/>
        </w:trPr>
        <w:tc>
          <w:tcPr>
            <w:tcW w:type="dxa" w:w="5083"/>
            <w:vAlign w:val="center"/>
            <w:tcBorders>
              <w:top w:val="single" w:sz="6" w:color="AAB4C3"/>
              <w:left w:val="single" w:sz="6" w:color="AAB4C3"/>
              <w:bottom w:val="single" w:sz="6" w:color="AAB4C3"/>
              <w:right w:val="single" w:sz="6" w:color="AAB4C3"/>
            </w:tcBorders>
          </w:tcPr>
          <w:p>
            <w:pPr>
              <w:spacing w:before="60" w:after="60"/>
            </w:pPr>
            <w:r>
              <w:rPr>
                <w:rFonts w:ascii="Aptos" w:hAnsi="Aptos" w:eastAsia="Aptos"/>
                <w:color w:val="162239"/>
                <w:sz w:val="17"/>
              </w:rPr>
              <w:t>I acknowledge that official brand accounts, branded social-media handles, and campaigns must comply with this Addendum, the Agreement, and the Manual.</w:t>
            </w:r>
          </w:p>
        </w:tc>
        <w:tc>
          <w:tcPr>
            <w:tcW w:type="dxa" w:w="5083"/>
            <w:vAlign w:val="center"/>
            <w:tcBorders>
              <w:top w:val="single" w:sz="6" w:color="AAB4C3"/>
              <w:left w:val="single" w:sz="6" w:color="AAB4C3"/>
              <w:bottom w:val="single" w:sz="6" w:color="AAB4C3"/>
              <w:right w:val="single" w:sz="6" w:color="AAB4C3"/>
            </w:tcBorders>
          </w:tcPr>
          <w:p>
            <w:pPr>
              <w:spacing w:before="60" w:after="60"/>
              <w:jc w:val="center"/>
            </w:pPr>
            <w:r>
              <w:rPr>
                <w:rFonts w:ascii="Aptos" w:hAnsi="Aptos" w:eastAsia="Aptos"/>
                <w:b/>
                <w:color w:val="0B1F44"/>
                <w:sz w:val="17"/>
              </w:rPr>
              <w:t>Initials: ______</w:t>
            </w:r>
          </w:p>
        </w:tc>
      </w:tr>
      <w:tr>
        <w:trPr>
          <w:cantSplit/>
        </w:trPr>
        <w:tc>
          <w:tcPr>
            <w:tcW w:type="dxa" w:w="5083"/>
            <w:vAlign w:val="center"/>
            <w:tcBorders>
              <w:top w:val="single" w:sz="6" w:color="AAB4C3"/>
              <w:left w:val="single" w:sz="6" w:color="AAB4C3"/>
              <w:bottom w:val="single" w:sz="6" w:color="AAB4C3"/>
              <w:right w:val="single" w:sz="6" w:color="AAB4C3"/>
            </w:tcBorders>
          </w:tcPr>
          <w:p>
            <w:pPr>
              <w:spacing w:before="60" w:after="60"/>
            </w:pPr>
            <w:r>
              <w:rPr>
                <w:rFonts w:ascii="Aptos" w:hAnsi="Aptos" w:eastAsia="Aptos"/>
                <w:color w:val="162239"/>
                <w:sz w:val="17"/>
              </w:rPr>
              <w:t>I acknowledge that this Addendum must be provided as part of the proposed franchise contract package before execution, where required by applicable franchise law.</w:t>
            </w:r>
          </w:p>
        </w:tc>
        <w:tc>
          <w:tcPr>
            <w:tcW w:type="dxa" w:w="5083"/>
            <w:vAlign w:val="center"/>
            <w:tcBorders>
              <w:top w:val="single" w:sz="6" w:color="AAB4C3"/>
              <w:left w:val="single" w:sz="6" w:color="AAB4C3"/>
              <w:bottom w:val="single" w:sz="6" w:color="AAB4C3"/>
              <w:right w:val="single" w:sz="6" w:color="AAB4C3"/>
            </w:tcBorders>
          </w:tcPr>
          <w:p>
            <w:pPr>
              <w:spacing w:before="60" w:after="60"/>
              <w:jc w:val="center"/>
            </w:pPr>
            <w:r>
              <w:rPr>
                <w:rFonts w:ascii="Aptos" w:hAnsi="Aptos" w:eastAsia="Aptos"/>
                <w:b/>
                <w:color w:val="0B1F44"/>
                <w:sz w:val="17"/>
              </w:rPr>
              <w:t>Initials: ______</w:t>
            </w:r>
          </w:p>
        </w:tc>
      </w:tr>
    </w:tbl>
    <w:p>
      <w:pPr>
        <w:spacing w:after="80"/>
      </w:pPr>
    </w:p>
    <w:tbl>
      <w:tblPr>
        <w:tblW w:type="auto" w:w="0"/>
        <w:jc w:val="center"/>
        <w:tblLayout w:type="fixed"/>
        <w:tblLook w:firstColumn="1" w:firstRow="1" w:lastColumn="0" w:lastRow="0" w:noHBand="0" w:noVBand="1" w:val="04A0"/>
      </w:tblPr>
      <w:tblGrid>
        <w:gridCol w:w="5011"/>
        <w:gridCol w:w="5011"/>
      </w:tblGrid>
      <w:tr>
        <w:trPr>
          <w:cantSplit/>
        </w:trPr>
        <w:tc>
          <w:tcPr>
            <w:tcW w:type="dxa" w:w="5083"/>
            <w:shd w:fill="0B1F44"/>
            <w:vAlign w:val="center"/>
            <w:tcBorders>
              <w:top w:val="single" w:sz="6" w:color="AAB4C3"/>
              <w:left w:val="single" w:sz="6" w:color="AAB4C3"/>
              <w:bottom w:val="single" w:sz="6" w:color="AAB4C3"/>
              <w:right w:val="single" w:sz="6" w:color="AAB4C3"/>
            </w:tcBorders>
          </w:tcPr>
          <w:p>
            <w:pPr>
              <w:jc w:val="center"/>
            </w:pPr>
            <w:r>
              <w:rPr>
                <w:rFonts w:ascii="Aptos" w:hAnsi="Aptos" w:eastAsia="Aptos"/>
                <w:b/>
                <w:color w:val="FFFFFF"/>
                <w:sz w:val="19"/>
              </w:rPr>
              <w:t>FRANCHISOR</w:t>
            </w:r>
          </w:p>
        </w:tc>
        <w:tc>
          <w:tcPr>
            <w:tcW w:type="dxa" w:w="5083"/>
            <w:shd w:fill="0B1F44"/>
            <w:vAlign w:val="center"/>
            <w:tcBorders>
              <w:top w:val="single" w:sz="6" w:color="AAB4C3"/>
              <w:left w:val="single" w:sz="6" w:color="AAB4C3"/>
              <w:bottom w:val="single" w:sz="6" w:color="AAB4C3"/>
              <w:right w:val="single" w:sz="6" w:color="AAB4C3"/>
            </w:tcBorders>
          </w:tcPr>
          <w:p>
            <w:pPr>
              <w:jc w:val="center"/>
            </w:pPr>
            <w:r>
              <w:rPr>
                <w:rFonts w:ascii="Aptos" w:hAnsi="Aptos" w:eastAsia="Aptos"/>
                <w:b/>
                <w:color w:val="FFFFFF"/>
                <w:sz w:val="19"/>
              </w:rPr>
              <w:t>FRANCHISEE</w:t>
            </w:r>
          </w:p>
        </w:tc>
      </w:tr>
      <w:tr>
        <w:trPr>
          <w:cantSplit/>
        </w:trPr>
        <w:tc>
          <w:tcPr>
            <w:tcW w:type="dxa" w:w="5083"/>
            <w:vAlign w:val="top"/>
            <w:tcBorders>
              <w:top w:val="single" w:sz="6" w:color="AAB4C3"/>
              <w:left w:val="single" w:sz="6" w:color="AAB4C3"/>
              <w:bottom w:val="single" w:sz="6" w:color="AAB4C3"/>
              <w:right w:val="single" w:sz="6" w:color="AAB4C3"/>
            </w:tcBorders>
          </w:tcPr>
          <w:p>
            <w:pPr>
              <w:spacing w:before="80" w:after="80" w:line="259" w:lineRule="auto"/>
            </w:pPr>
            <w:r>
              <w:rPr>
                <w:rFonts w:ascii="Aptos" w:hAnsi="Aptos" w:eastAsia="Aptos"/>
                <w:color w:val="162239"/>
                <w:sz w:val="18"/>
              </w:rPr>
              <w:t>The Phoenix Store Online, LLC</w:t>
            </w:r>
            <w:r>
              <w:br/>
            </w:r>
            <w:r>
              <w:rPr>
                <w:rFonts w:ascii="Aptos" w:hAnsi="Aptos" w:eastAsia="Aptos"/>
                <w:color w:val="162239"/>
                <w:sz w:val="18"/>
              </w:rPr>
            </w:r>
            <w:r>
              <w:br/>
            </w:r>
            <w:r>
              <w:rPr>
                <w:rFonts w:ascii="Aptos" w:hAnsi="Aptos" w:eastAsia="Aptos"/>
                <w:color w:val="162239"/>
                <w:sz w:val="18"/>
              </w:rPr>
              <w:t>By: ____________________________________</w:t>
            </w:r>
            <w:r>
              <w:br/>
            </w:r>
            <w:r>
              <w:rPr>
                <w:rFonts w:ascii="Aptos" w:hAnsi="Aptos" w:eastAsia="Aptos"/>
                <w:color w:val="162239"/>
                <w:sz w:val="18"/>
              </w:rPr>
              <w:t>Name: __________________________________</w:t>
            </w:r>
            <w:r>
              <w:br/>
            </w:r>
            <w:r>
              <w:rPr>
                <w:rFonts w:ascii="Aptos" w:hAnsi="Aptos" w:eastAsia="Aptos"/>
                <w:color w:val="162239"/>
                <w:sz w:val="18"/>
              </w:rPr>
              <w:t>Title: ___________________________________</w:t>
            </w:r>
            <w:r>
              <w:br/>
            </w:r>
            <w:r>
              <w:rPr>
                <w:rFonts w:ascii="Aptos" w:hAnsi="Aptos" w:eastAsia="Aptos"/>
                <w:color w:val="162239"/>
                <w:sz w:val="18"/>
              </w:rPr>
              <w:t>Date: ___________________________________</w:t>
            </w:r>
          </w:p>
        </w:tc>
        <w:tc>
          <w:tcPr>
            <w:tcW w:type="dxa" w:w="5083"/>
            <w:vAlign w:val="top"/>
            <w:tcBorders>
              <w:top w:val="single" w:sz="6" w:color="AAB4C3"/>
              <w:left w:val="single" w:sz="6" w:color="AAB4C3"/>
              <w:bottom w:val="single" w:sz="6" w:color="AAB4C3"/>
              <w:right w:val="single" w:sz="6" w:color="AAB4C3"/>
            </w:tcBorders>
          </w:tcPr>
          <w:p>
            <w:pPr>
              <w:spacing w:before="80" w:after="80" w:line="259" w:lineRule="auto"/>
            </w:pPr>
            <w:r>
              <w:rPr>
                <w:rFonts w:ascii="Aptos" w:hAnsi="Aptos" w:eastAsia="Aptos"/>
                <w:color w:val="162239"/>
                <w:sz w:val="18"/>
              </w:rPr>
              <w:t>Legal Name: ___________________________</w:t>
            </w:r>
            <w:r>
              <w:br/>
            </w:r>
            <w:r>
              <w:rPr>
                <w:rFonts w:ascii="Aptos" w:hAnsi="Aptos" w:eastAsia="Aptos"/>
                <w:color w:val="162239"/>
                <w:sz w:val="18"/>
              </w:rPr>
              <w:t>Entity / Individual: _______________________</w:t>
            </w:r>
            <w:r>
              <w:br/>
            </w:r>
            <w:r>
              <w:rPr>
                <w:rFonts w:ascii="Aptos" w:hAnsi="Aptos" w:eastAsia="Aptos"/>
                <w:color w:val="162239"/>
                <w:sz w:val="18"/>
              </w:rPr>
            </w:r>
            <w:r>
              <w:br/>
            </w:r>
            <w:r>
              <w:rPr>
                <w:rFonts w:ascii="Aptos" w:hAnsi="Aptos" w:eastAsia="Aptos"/>
                <w:color w:val="162239"/>
                <w:sz w:val="18"/>
              </w:rPr>
              <w:t>By: ____________________________________</w:t>
            </w:r>
            <w:r>
              <w:br/>
            </w:r>
            <w:r>
              <w:rPr>
                <w:rFonts w:ascii="Aptos" w:hAnsi="Aptos" w:eastAsia="Aptos"/>
                <w:color w:val="162239"/>
                <w:sz w:val="18"/>
              </w:rPr>
              <w:t>Name: __________________________________</w:t>
            </w:r>
            <w:r>
              <w:br/>
            </w:r>
            <w:r>
              <w:rPr>
                <w:rFonts w:ascii="Aptos" w:hAnsi="Aptos" w:eastAsia="Aptos"/>
                <w:color w:val="162239"/>
                <w:sz w:val="18"/>
              </w:rPr>
              <w:t>Title (if applicable): ______________________</w:t>
            </w:r>
            <w:r>
              <w:br/>
            </w:r>
            <w:r>
              <w:rPr>
                <w:rFonts w:ascii="Aptos" w:hAnsi="Aptos" w:eastAsia="Aptos"/>
                <w:color w:val="162239"/>
                <w:sz w:val="18"/>
              </w:rPr>
              <w:t>Date: ___________________________________</w:t>
            </w:r>
          </w:p>
        </w:tc>
      </w:tr>
      <w:tr>
        <w:trPr>
          <w:cantSplit/>
        </w:trPr>
        <w:tc>
          <w:tcPr>
            <w:tcW w:type="dxa" w:w="5083"/>
            <w:vAlign w:val="top"/>
            <w:tcBorders>
              <w:top w:val="single" w:sz="6" w:color="AAB4C3"/>
              <w:left w:val="single" w:sz="6" w:color="AAB4C3"/>
              <w:bottom w:val="single" w:sz="6" w:color="AAB4C3"/>
              <w:right w:val="single" w:sz="6" w:color="AAB4C3"/>
            </w:tcBorders>
          </w:tcPr>
          <w:p>
            <w:pPr>
              <w:spacing w:before="80" w:after="80" w:line="259" w:lineRule="auto"/>
            </w:pPr>
            <w:r>
              <w:rPr>
                <w:rFonts w:ascii="Aptos" w:hAnsi="Aptos" w:eastAsia="Aptos"/>
                <w:color w:val="162239"/>
                <w:sz w:val="18"/>
              </w:rPr>
              <w:t>Franchise Agreement Date: ______________________</w:t>
            </w:r>
          </w:p>
        </w:tc>
        <w:tc>
          <w:tcPr>
            <w:tcW w:type="dxa" w:w="5083"/>
            <w:vAlign w:val="top"/>
            <w:tcBorders>
              <w:top w:val="single" w:sz="6" w:color="AAB4C3"/>
              <w:left w:val="single" w:sz="6" w:color="AAB4C3"/>
              <w:bottom w:val="single" w:sz="6" w:color="AAB4C3"/>
              <w:right w:val="single" w:sz="6" w:color="AAB4C3"/>
            </w:tcBorders>
          </w:tcPr>
          <w:p>
            <w:pPr>
              <w:spacing w:before="80" w:after="80" w:line="259" w:lineRule="auto"/>
            </w:pPr>
            <w:r>
              <w:rPr>
                <w:rFonts w:ascii="Aptos" w:hAnsi="Aptos" w:eastAsia="Aptos"/>
                <w:color w:val="162239"/>
                <w:sz w:val="18"/>
              </w:rPr>
              <w:t>Franchise Agreement Date: ______________________</w:t>
            </w:r>
          </w:p>
        </w:tc>
      </w:tr>
      <w:tr>
        <w:trPr>
          <w:cantSplit/>
        </w:trPr>
        <w:tc>
          <w:tcPr>
            <w:tcW w:type="dxa" w:w="5083"/>
            <w:vAlign w:val="top"/>
            <w:tcBorders>
              <w:top w:val="single" w:sz="6" w:color="AAB4C3"/>
              <w:left w:val="single" w:sz="6" w:color="AAB4C3"/>
              <w:bottom w:val="single" w:sz="6" w:color="AAB4C3"/>
              <w:right w:val="single" w:sz="6" w:color="AAB4C3"/>
            </w:tcBorders>
          </w:tcPr>
          <w:p>
            <w:pPr>
              <w:spacing w:before="80" w:after="80" w:line="259" w:lineRule="auto"/>
            </w:pPr>
            <w:r>
              <w:rPr>
                <w:rFonts w:ascii="Aptos" w:hAnsi="Aptos" w:eastAsia="Aptos"/>
                <w:color w:val="162239"/>
                <w:sz w:val="18"/>
              </w:rPr>
              <w:t>Signature of Authorized Representative: ________________________________</w:t>
            </w:r>
          </w:p>
        </w:tc>
        <w:tc>
          <w:tcPr>
            <w:tcW w:type="dxa" w:w="5083"/>
            <w:vAlign w:val="top"/>
            <w:tcBorders>
              <w:top w:val="single" w:sz="6" w:color="AAB4C3"/>
              <w:left w:val="single" w:sz="6" w:color="AAB4C3"/>
              <w:bottom w:val="single" w:sz="6" w:color="AAB4C3"/>
              <w:right w:val="single" w:sz="6" w:color="AAB4C3"/>
            </w:tcBorders>
          </w:tcPr>
          <w:p>
            <w:pPr>
              <w:spacing w:before="80" w:after="80" w:line="259" w:lineRule="auto"/>
            </w:pPr>
            <w:r>
              <w:rPr>
                <w:rFonts w:ascii="Aptos" w:hAnsi="Aptos" w:eastAsia="Aptos"/>
                <w:color w:val="162239"/>
                <w:sz w:val="18"/>
              </w:rPr>
              <w:t>Signature of Franchisee / Authorized Representative: ________________________________</w:t>
            </w:r>
          </w:p>
        </w:tc>
      </w:tr>
    </w:tbl>
    <w:sectPr w:rsidR="00FC693F" w:rsidRPr="0006063C" w:rsidSect="00034616">
      <w:headerReference w:type="default" r:id="rId9"/>
      <w:footerReference w:type="default" r:id="rId10"/>
      <w:pgSz w:w="12240" w:h="15840"/>
      <w:pgMar w:top="864" w:right="1037" w:bottom="792" w:left="1037" w:header="360" w:footer="403"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p>
  <w:tbl>
    <w:tblPr>
      <w:tblW w:type="auto" w:w="0"/>
      <w:jc w:val="center"/>
      <w:tblLayout w:type="fixed"/>
      <w:tblLook w:firstColumn="1" w:firstRow="1" w:lastColumn="0" w:lastRow="0" w:noHBand="0" w:noVBand="1" w:val="04A0"/>
    </w:tblPr>
    <w:tblGrid>
      <w:gridCol w:w="2448"/>
      <w:gridCol w:w="5328"/>
      <w:gridCol w:w="2390"/>
    </w:tblGrid>
    <w:tr>
      <w:tc>
        <w:tcPr>
          <w:tcW w:type="dxa" w:w="3389"/>
          <w:vAlign w:val="center"/>
          <w:tcBorders>
            <w:top w:val="single" w:sz="4" w:color="D9DEE7"/>
            <w:left w:val="nil"/>
            <w:bottom w:val="nil"/>
            <w:right w:val="nil"/>
          </w:tcBorders>
        </w:tcPr>
        <w:p>
          <w:pPr>
            <w:spacing w:after="0"/>
          </w:pPr>
          <w:r>
            <w:rPr>
              <w:rFonts w:ascii="Aptos" w:hAnsi="Aptos" w:eastAsia="Aptos"/>
              <w:color w:val="5E6B80"/>
              <w:sz w:val="14"/>
            </w:rPr>
            <w:t>© 2026 The Phoenix Store Online, LLC</w:t>
          </w:r>
        </w:p>
      </w:tc>
      <w:tc>
        <w:tcPr>
          <w:tcW w:type="dxa" w:w="3389"/>
          <w:vAlign w:val="center"/>
          <w:tcBorders>
            <w:top w:val="single" w:sz="4" w:color="D9DEE7"/>
            <w:left w:val="nil"/>
            <w:bottom w:val="nil"/>
            <w:right w:val="nil"/>
          </w:tcBorders>
        </w:tcPr>
        <w:p>
          <w:pPr>
            <w:spacing w:after="0"/>
            <w:jc w:val="center"/>
          </w:pPr>
          <w:r>
            <w:rPr>
              <w:rFonts w:ascii="Aptos" w:hAnsi="Aptos" w:eastAsia="Aptos"/>
              <w:color w:val="5E6B80"/>
              <w:sz w:val="14"/>
            </w:rPr>
            <w:t>Morality &amp; Social Media Conduct Addendum</w:t>
          </w:r>
        </w:p>
      </w:tc>
      <w:tc>
        <w:tcPr>
          <w:tcW w:type="dxa" w:w="3389"/>
          <w:vAlign w:val="center"/>
          <w:tcBorders>
            <w:top w:val="single" w:sz="4" w:color="D9DEE7"/>
            <w:left w:val="nil"/>
            <w:bottom w:val="nil"/>
            <w:right w:val="nil"/>
          </w:tcBorders>
        </w:tcPr>
        <w:p>
          <w:pPr>
            <w:spacing w:after="0"/>
            <w:jc w:val="right"/>
          </w:pPr>
          <w:r>
            <w:rPr>
              <w:rFonts w:ascii="Aptos" w:hAnsi="Aptos" w:eastAsia="Aptos"/>
              <w:color w:val="5E6B80"/>
              <w:sz w:val="14"/>
            </w:rPr>
            <w:t>Virginia Governing Law</w:t>
          </w:r>
        </w:p>
      </w:tc>
    </w:tr>
  </w:tbl>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center"/>
      <w:tblLayout w:type="fixed"/>
      <w:tblLook w:firstColumn="1" w:firstRow="1" w:lastColumn="0" w:lastRow="0" w:noHBand="0" w:noVBand="1" w:val="04A0"/>
    </w:tblPr>
    <w:tblGrid>
      <w:gridCol w:w="7128"/>
      <w:gridCol w:w="3038"/>
    </w:tblGrid>
    <w:tr>
      <w:tc>
        <w:tcPr>
          <w:tcW w:type="dxa" w:w="5083"/>
          <w:shd w:fill="0B1F44"/>
          <w:vAlign w:val="center"/>
          <w:tcBorders>
            <w:top w:val="single" w:sz="8" w:color="0B1F44"/>
            <w:left w:val="single" w:sz="8" w:color="0B1F44"/>
            <w:bottom w:val="single" w:sz="8" w:color="0B1F44"/>
            <w:right w:val="single" w:sz="8" w:color="0B1F44"/>
          </w:tcBorders>
        </w:tcPr>
        <w:p>
          <w:pPr>
            <w:spacing w:after="0"/>
            <w:jc w:val="left"/>
          </w:pPr>
          <w:r>
            <w:rPr>
              <w:rFonts w:ascii="Aptos" w:hAnsi="Aptos" w:eastAsia="Aptos"/>
              <w:b/>
              <w:color w:val="FFFFFF"/>
              <w:sz w:val="17"/>
            </w:rPr>
            <w:t>THE PHOENIX STORE ONLINE, LLC</w:t>
          </w:r>
        </w:p>
      </w:tc>
      <w:tc>
        <w:tcPr>
          <w:tcW w:type="dxa" w:w="5083"/>
          <w:shd w:fill="0B1F44"/>
          <w:vAlign w:val="center"/>
          <w:tcBorders>
            <w:top w:val="single" w:sz="8" w:color="0B1F44"/>
            <w:left w:val="single" w:sz="8" w:color="0B1F44"/>
            <w:bottom w:val="single" w:sz="8" w:color="0B1F44"/>
            <w:right w:val="single" w:sz="8" w:color="0B1F44"/>
          </w:tcBorders>
        </w:tcPr>
        <w:p>
          <w:pPr>
            <w:spacing w:after="0"/>
            <w:jc w:val="right"/>
          </w:pPr>
          <w:r>
            <w:rPr>
              <w:rFonts w:ascii="Aptos" w:hAnsi="Aptos" w:eastAsia="Aptos"/>
              <w:b/>
              <w:color w:val="F6E5BF"/>
              <w:sz w:val="16"/>
            </w:rPr>
            <w:t>CONDUCT ADDENDUM</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Morality &amp; Social Media Conduct Addendum - The Phoenix Store Online, LLC</dc:title>
  <dc:subject>Franchise Agreement Addendum</dc:subject>
  <dc:creator>The Phoenix Store Online, LLC</dc:creator>
  <cp:keywords/>
  <dc:description>Execution addendum. Must be delivered with all proposed franchise agreements as required by law.</dc:description>
  <cp:lastModifiedBy/>
  <cp:revision>1</cp:revision>
  <dcterms:created xsi:type="dcterms:W3CDTF">2013-12-23T23:15:00Z</dcterms:created>
  <dcterms:modified xsi:type="dcterms:W3CDTF">2013-12-23T23:15:00Z</dcterms:modified>
  <cp:category/>
</cp:coreProperties>
</file>